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11CDD" w14:textId="77777777" w:rsidR="00713849" w:rsidRDefault="00713849">
      <w:pPr>
        <w:spacing w:after="0" w:line="240" w:lineRule="auto"/>
        <w:rPr>
          <w:rFonts w:ascii="宋体" w:eastAsia="宋体" w:hint="eastAsia"/>
          <w:sz w:val="32"/>
          <w:szCs w:val="32"/>
        </w:rPr>
      </w:pPr>
    </w:p>
    <w:p w14:paraId="58DD4517" w14:textId="77777777" w:rsidR="00713849" w:rsidRDefault="00713849">
      <w:pPr>
        <w:spacing w:after="0" w:line="240" w:lineRule="auto"/>
        <w:rPr>
          <w:rFonts w:ascii="宋体" w:eastAsia="宋体" w:hint="eastAsia"/>
          <w:sz w:val="44"/>
          <w:szCs w:val="44"/>
        </w:rPr>
      </w:pPr>
    </w:p>
    <w:p w14:paraId="3BB07878" w14:textId="77777777" w:rsidR="00713849" w:rsidRDefault="00713849">
      <w:pPr>
        <w:spacing w:after="0" w:line="240" w:lineRule="auto"/>
        <w:rPr>
          <w:rFonts w:ascii="宋体" w:eastAsia="宋体" w:hint="eastAsia"/>
          <w:sz w:val="44"/>
          <w:szCs w:val="44"/>
        </w:rPr>
      </w:pPr>
    </w:p>
    <w:p w14:paraId="7C0A69C2" w14:textId="77777777" w:rsidR="00713849" w:rsidRDefault="00713849">
      <w:pPr>
        <w:spacing w:after="0" w:line="240" w:lineRule="auto"/>
        <w:rPr>
          <w:rFonts w:ascii="宋体" w:eastAsia="宋体" w:hint="eastAsia"/>
          <w:sz w:val="44"/>
          <w:szCs w:val="44"/>
        </w:rPr>
      </w:pPr>
    </w:p>
    <w:p w14:paraId="36883355" w14:textId="77777777" w:rsidR="00713849"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木垒哈萨克自治县地震台</w:t>
      </w:r>
    </w:p>
    <w:p w14:paraId="22262776" w14:textId="77777777" w:rsidR="00713849"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CC49CB4" w14:textId="77777777" w:rsidR="00713849" w:rsidRDefault="00000000">
      <w:pPr>
        <w:rPr>
          <w:rFonts w:hint="eastAsia"/>
          <w:lang w:eastAsia="zh-CN"/>
        </w:rPr>
      </w:pPr>
      <w:r>
        <w:rPr>
          <w:sz w:val="0"/>
          <w:szCs w:val="0"/>
          <w:lang w:eastAsia="zh-CN"/>
        </w:rPr>
        <w:br w:type="page"/>
      </w:r>
    </w:p>
    <w:p w14:paraId="0DBC8022" w14:textId="77777777" w:rsidR="00713849"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38C4A8E"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0814F7E4"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7769230"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AD3034C"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C323580"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D3B66DD"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3AE5ED53"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1CE561B"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3CA1231"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A28A71B"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049FB7B0"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7E569E98"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5C0F2E3E"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D6DF8A2"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EE83F36"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ECDC4B8"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700B956"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1D2E0B3"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202FF4F"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80929BA"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292AEF9"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704F4E3C"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2D795473"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22A994F9"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EC4DC16"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13C2AB5"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C3F3F1D"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616521D0"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FCF0013"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342DF19"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775A835"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7C2E932"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B790B65" w14:textId="77777777" w:rsidR="0071384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DB6C848" w14:textId="77777777" w:rsidR="00713849" w:rsidRDefault="00000000">
      <w:pPr>
        <w:rPr>
          <w:rFonts w:hint="eastAsia"/>
          <w:lang w:eastAsia="zh-CN"/>
        </w:rPr>
      </w:pPr>
      <w:r>
        <w:rPr>
          <w:sz w:val="0"/>
          <w:szCs w:val="0"/>
          <w:lang w:eastAsia="zh-CN"/>
        </w:rPr>
        <w:br w:type="page"/>
      </w:r>
    </w:p>
    <w:p w14:paraId="282E3A8A" w14:textId="77777777" w:rsidR="0071384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0888572" w14:textId="77777777" w:rsidR="0071384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0741A90"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地震台主要承担木垒县地震监测，建立震情跟踪会商制度，提高地震监测预报能力；承担对震活动与地震前兆的信息检测，传递、分析、处理；会同有关部门组织和培训地震紧急救援队伍；组织开展水库、火山地震的监测和研究工作，会同有关部门防范地震次生灾害。</w:t>
      </w:r>
    </w:p>
    <w:p w14:paraId="612BF056" w14:textId="77777777" w:rsidR="0071384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DAFEDE7"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木垒哈萨克自治县地震台2024年度，实有人数9人，其中：在职人员4人，减少1人；离休人员0人，较上年无变化；退休人员5人，增加1人。</w:t>
      </w:r>
    </w:p>
    <w:p w14:paraId="1146AEE2"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木垒哈萨克自治县地震台无下属预算单位，下设3个科室，分别是：财务室、办公室、监测室。</w:t>
      </w:r>
    </w:p>
    <w:p w14:paraId="5FAFC03C" w14:textId="77777777" w:rsidR="00713849" w:rsidRDefault="00000000">
      <w:pPr>
        <w:rPr>
          <w:rFonts w:hint="eastAsia"/>
          <w:lang w:eastAsia="zh-CN"/>
        </w:rPr>
      </w:pPr>
      <w:r>
        <w:rPr>
          <w:sz w:val="0"/>
          <w:szCs w:val="0"/>
          <w:lang w:eastAsia="zh-CN"/>
        </w:rPr>
        <w:br w:type="page"/>
      </w:r>
    </w:p>
    <w:p w14:paraId="746E971C" w14:textId="77777777" w:rsidR="0071384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51A7FACB" w14:textId="77777777" w:rsidR="0071384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44D0DB2"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2024年度收入总计121.70万元，其中：本年收入合计121.70万元，使用非财政拨款结余（含专用结余）0.00万元，年初结转和结余0.00万元。</w:t>
      </w:r>
    </w:p>
    <w:p w14:paraId="0B13383D"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2024年度支出总计121.70万元，其中：本年支出合计121.70万元，结余分配0.00万元，年末结转和结余0.00万元。</w:t>
      </w:r>
    </w:p>
    <w:p w14:paraId="7B613614" w14:textId="1881C423"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收入支出总体与上年相比，增加17.93万元，增长17.28%，主要原因是：</w:t>
      </w:r>
      <w:bookmarkStart w:id="0" w:name="OLE_LINK1"/>
      <w:r>
        <w:rPr>
          <w:rFonts w:ascii="仿宋_GB2312" w:eastAsia="仿宋_GB2312" w:hint="eastAsia"/>
          <w:sz w:val="32"/>
          <w:szCs w:val="32"/>
          <w:lang w:eastAsia="zh-CN"/>
        </w:rPr>
        <w:t>单位本年度</w:t>
      </w:r>
      <w:r w:rsidR="00331D3C">
        <w:rPr>
          <w:rFonts w:ascii="仿宋_GB2312" w:eastAsia="仿宋_GB2312" w:hint="eastAsia"/>
          <w:sz w:val="32"/>
          <w:szCs w:val="32"/>
          <w:lang w:eastAsia="zh-CN"/>
        </w:rPr>
        <w:t>地</w:t>
      </w:r>
      <w:r>
        <w:rPr>
          <w:rFonts w:ascii="仿宋_GB2312" w:eastAsia="仿宋_GB2312" w:hint="eastAsia"/>
          <w:sz w:val="32"/>
          <w:szCs w:val="32"/>
          <w:lang w:eastAsia="zh-CN"/>
        </w:rPr>
        <w:t>震台维修（护）费、地震台运作经费</w:t>
      </w:r>
      <w:bookmarkEnd w:id="0"/>
      <w:r>
        <w:rPr>
          <w:rFonts w:ascii="仿宋_GB2312" w:eastAsia="仿宋_GB2312" w:hint="eastAsia"/>
          <w:sz w:val="32"/>
          <w:szCs w:val="32"/>
          <w:lang w:eastAsia="zh-CN"/>
        </w:rPr>
        <w:t>较上年增加</w:t>
      </w:r>
      <w:r>
        <w:rPr>
          <w:rFonts w:ascii="仿宋_GB2312" w:eastAsia="仿宋_GB2312"/>
          <w:sz w:val="32"/>
          <w:szCs w:val="32"/>
          <w:lang w:eastAsia="zh-CN"/>
        </w:rPr>
        <w:t>。</w:t>
      </w:r>
    </w:p>
    <w:p w14:paraId="5B6486C3" w14:textId="77777777" w:rsidR="0071384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3A92DD74"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本年收入121.70万元，其中：财政拨款收入102.71万元,占84.40%；上级补助收入0.00万元,占0.00%；事业收入0.00万元，占0.00%；经营收入0.00万元,占0.00%；附属单位上缴收入0.00万元，占0.00%；其他收入18.99万元，占15.60%。</w:t>
      </w:r>
    </w:p>
    <w:p w14:paraId="2F467339" w14:textId="77777777" w:rsidR="0071384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CBF2182"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本年支出121.70万元，其中：基本支出120.50万元，占99.01%；项目支出1.20万元，占0.99%；上缴上级支出0.00万元，占0.00%；经营支出0.00万元，占0.00%；对附属单位补助支出0.00万元，占0.00%。</w:t>
      </w:r>
    </w:p>
    <w:p w14:paraId="0B753CDD" w14:textId="77777777" w:rsidR="0071384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BACAC73"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2024年度财政拨款收入总计102.71万元，其中：年初财政拨款结转和结余0.00万元，本年财政拨款收入102.71万元。财政拨款支出总计102.71万元，其中：年末财政拨款结转和结余0.00万元，本年财政拨款支出102.71万元。</w:t>
      </w:r>
    </w:p>
    <w:p w14:paraId="1A607A2B"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财政拨款收入支出总体与上年相比，减少1.06万元，下降1.02%，主要原因是：</w:t>
      </w:r>
      <w:bookmarkStart w:id="1" w:name="OLE_LINK2"/>
      <w:r>
        <w:rPr>
          <w:rFonts w:ascii="仿宋_GB2312" w:eastAsia="仿宋_GB2312" w:hint="eastAsia"/>
          <w:sz w:val="32"/>
          <w:szCs w:val="32"/>
          <w:lang w:eastAsia="zh-CN"/>
        </w:rPr>
        <w:t>单位本年在职人员减少，相应工资、社保、公积金减少。</w:t>
      </w:r>
      <w:bookmarkEnd w:id="1"/>
      <w:r>
        <w:rPr>
          <w:rFonts w:ascii="仿宋_GB2312" w:eastAsia="仿宋_GB2312"/>
          <w:sz w:val="32"/>
          <w:szCs w:val="32"/>
          <w:lang w:eastAsia="zh-CN"/>
        </w:rPr>
        <w:t>与年初预算相比，年初预算数106.84万元，决算数102.71万元，预决算差异率-3.87%，主要原因是：</w:t>
      </w:r>
      <w:r>
        <w:rPr>
          <w:rFonts w:ascii="仿宋_GB2312" w:eastAsia="仿宋_GB2312" w:hint="eastAsia"/>
          <w:sz w:val="32"/>
          <w:szCs w:val="32"/>
          <w:lang w:eastAsia="zh-CN"/>
        </w:rPr>
        <w:lastRenderedPageBreak/>
        <w:t>单位年中减少1人，人员工资、津补贴等人员经费实际业务金额小于年初预算安排金额</w:t>
      </w:r>
      <w:r>
        <w:rPr>
          <w:rFonts w:ascii="仿宋_GB2312" w:eastAsia="仿宋_GB2312"/>
          <w:sz w:val="32"/>
          <w:szCs w:val="32"/>
          <w:lang w:eastAsia="zh-CN"/>
        </w:rPr>
        <w:t>。</w:t>
      </w:r>
    </w:p>
    <w:p w14:paraId="023B748E" w14:textId="77777777" w:rsidR="0071384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DF31027" w14:textId="77777777" w:rsidR="0071384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30BF7439"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2024年度一般公共预算财政拨款支出102.71万元，占本年支出合计的84.40%。与上年相比，减少1.06万元，下降1.02%，主要原因是：</w:t>
      </w:r>
      <w:r>
        <w:rPr>
          <w:rFonts w:ascii="仿宋_GB2312" w:eastAsia="仿宋_GB2312" w:hint="eastAsia"/>
          <w:sz w:val="32"/>
          <w:szCs w:val="32"/>
          <w:lang w:eastAsia="zh-CN"/>
        </w:rPr>
        <w:t>单位本年在职人员减少，相应工资、社保、公积金减少。</w:t>
      </w:r>
      <w:r>
        <w:rPr>
          <w:rFonts w:ascii="仿宋_GB2312" w:eastAsia="仿宋_GB2312"/>
          <w:sz w:val="32"/>
          <w:szCs w:val="32"/>
          <w:lang w:eastAsia="zh-CN"/>
        </w:rPr>
        <w:t>与年初预算相比，年初预算数106.84万元，决算数102.71万元，预决算差异率-3.87%，主要原因是：</w:t>
      </w:r>
      <w:r>
        <w:rPr>
          <w:rFonts w:ascii="仿宋_GB2312" w:eastAsia="仿宋_GB2312" w:hint="eastAsia"/>
          <w:sz w:val="32"/>
          <w:szCs w:val="32"/>
          <w:lang w:eastAsia="zh-CN"/>
        </w:rPr>
        <w:t>单位年中减少1人，人员工资、津补贴等人员经费实际业务金额小于年初预算安排金额</w:t>
      </w:r>
      <w:r>
        <w:rPr>
          <w:rFonts w:ascii="仿宋_GB2312" w:eastAsia="仿宋_GB2312"/>
          <w:sz w:val="32"/>
          <w:szCs w:val="32"/>
          <w:lang w:eastAsia="zh-CN"/>
        </w:rPr>
        <w:t>。</w:t>
      </w:r>
    </w:p>
    <w:p w14:paraId="3BDA8733" w14:textId="77777777" w:rsidR="0071384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498176DC"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社会保障和就业支出（类）17.45万元，占16.99%。</w:t>
      </w:r>
    </w:p>
    <w:p w14:paraId="06B9ACC5"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住房保障支出（类）6.32万元，占6.15%。</w:t>
      </w:r>
    </w:p>
    <w:p w14:paraId="1C25A2B0"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灾害防治及应急管理支出（类）78.94万元，占76.86%。</w:t>
      </w:r>
    </w:p>
    <w:p w14:paraId="6ADEF85A" w14:textId="77777777" w:rsidR="0071384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06EA7A4D" w14:textId="77777777" w:rsidR="0071384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w:t>
      </w:r>
      <w:bookmarkStart w:id="2" w:name="OLE_LINK3"/>
      <w:r>
        <w:rPr>
          <w:rFonts w:ascii="仿宋_GB2312" w:eastAsia="仿宋_GB2312"/>
          <w:sz w:val="32"/>
          <w:szCs w:val="32"/>
          <w:lang w:eastAsia="zh-CN"/>
        </w:rPr>
        <w:t>事业单位离退休（项）</w:t>
      </w:r>
      <w:bookmarkEnd w:id="2"/>
      <w:r>
        <w:rPr>
          <w:rFonts w:ascii="仿宋_GB2312" w:eastAsia="仿宋_GB2312"/>
          <w:sz w:val="32"/>
          <w:szCs w:val="32"/>
          <w:lang w:eastAsia="zh-CN"/>
        </w:rPr>
        <w:t>：支出决算数为0.00万元，比上年决算减少1.33万元，下降100.00%，主要原因是：</w:t>
      </w:r>
      <w:bookmarkStart w:id="3" w:name="OLE_LINK5"/>
      <w:r>
        <w:rPr>
          <w:rFonts w:ascii="仿宋_GB2312" w:eastAsia="仿宋_GB2312" w:hint="eastAsia"/>
          <w:sz w:val="32"/>
          <w:szCs w:val="32"/>
          <w:lang w:eastAsia="zh-CN"/>
        </w:rPr>
        <w:t>单位本年功能科目调整，将退休费从</w:t>
      </w:r>
      <w:r>
        <w:rPr>
          <w:rFonts w:ascii="仿宋_GB2312" w:eastAsia="仿宋_GB2312"/>
          <w:sz w:val="32"/>
          <w:szCs w:val="32"/>
          <w:lang w:eastAsia="zh-CN"/>
        </w:rPr>
        <w:t>事业单位离退休</w:t>
      </w:r>
      <w:r>
        <w:rPr>
          <w:rFonts w:ascii="仿宋_GB2312" w:eastAsia="仿宋_GB2312" w:hint="eastAsia"/>
          <w:sz w:val="32"/>
          <w:szCs w:val="32"/>
          <w:lang w:eastAsia="zh-CN"/>
        </w:rPr>
        <w:t>款项调整至</w:t>
      </w:r>
      <w:r>
        <w:rPr>
          <w:rFonts w:ascii="仿宋_GB2312" w:eastAsia="仿宋_GB2312"/>
          <w:sz w:val="32"/>
          <w:szCs w:val="32"/>
          <w:lang w:eastAsia="zh-CN"/>
        </w:rPr>
        <w:t>行政运行</w:t>
      </w:r>
      <w:r>
        <w:rPr>
          <w:rFonts w:ascii="仿宋_GB2312" w:eastAsia="仿宋_GB2312" w:hint="eastAsia"/>
          <w:sz w:val="32"/>
          <w:szCs w:val="32"/>
          <w:lang w:eastAsia="zh-CN"/>
        </w:rPr>
        <w:t>款项中核算，导致此项经费减少</w:t>
      </w:r>
      <w:r>
        <w:rPr>
          <w:rFonts w:ascii="仿宋_GB2312" w:eastAsia="仿宋_GB2312"/>
          <w:sz w:val="32"/>
          <w:szCs w:val="32"/>
          <w:lang w:eastAsia="zh-CN"/>
        </w:rPr>
        <w:t>。</w:t>
      </w:r>
      <w:bookmarkEnd w:id="3"/>
    </w:p>
    <w:p w14:paraId="6C629B23" w14:textId="77777777" w:rsidR="0071384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2、社会保障和就业支出（类）行政事业单位养老支出（款）机关事业单位基本养老保险缴费支出（项）：支出决算数为8.30万元，比上年决算减少0.66万元，下降7.37%，主要原因是：</w:t>
      </w:r>
      <w:r>
        <w:rPr>
          <w:rFonts w:ascii="仿宋_GB2312" w:eastAsia="仿宋_GB2312" w:hint="eastAsia"/>
          <w:sz w:val="32"/>
          <w:szCs w:val="32"/>
          <w:lang w:eastAsia="zh-CN"/>
        </w:rPr>
        <w:t>单位本年在职人员减少</w:t>
      </w:r>
      <w:r>
        <w:rPr>
          <w:rFonts w:ascii="仿宋_GB2312" w:eastAsia="仿宋_GB2312"/>
          <w:sz w:val="32"/>
          <w:szCs w:val="32"/>
          <w:lang w:eastAsia="zh-CN"/>
        </w:rPr>
        <w:t>，</w:t>
      </w:r>
      <w:r>
        <w:rPr>
          <w:rFonts w:ascii="仿宋_GB2312" w:eastAsia="仿宋_GB2312" w:hint="eastAsia"/>
          <w:sz w:val="32"/>
          <w:szCs w:val="32"/>
          <w:lang w:eastAsia="zh-CN"/>
        </w:rPr>
        <w:t>职工基本养老保险缴费较上年</w:t>
      </w:r>
      <w:r>
        <w:rPr>
          <w:rFonts w:ascii="仿宋_GB2312" w:eastAsia="仿宋_GB2312"/>
          <w:sz w:val="32"/>
          <w:szCs w:val="32"/>
          <w:lang w:eastAsia="zh-CN"/>
        </w:rPr>
        <w:t>减少。</w:t>
      </w:r>
    </w:p>
    <w:p w14:paraId="1DE66C47" w14:textId="77777777" w:rsidR="0071384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3、社会保障和就业支出（类）行政事业单位养老支出（款）机关事业单位职业年金缴费支出（项）：支出决算数为8.35万元，比上年决算增加8.35万元，增长100.00%，主要原因是：</w:t>
      </w:r>
      <w:r>
        <w:rPr>
          <w:rFonts w:ascii="仿宋_GB2312" w:eastAsia="仿宋_GB2312" w:hint="eastAsia"/>
          <w:sz w:val="32"/>
          <w:szCs w:val="32"/>
          <w:lang w:eastAsia="zh-CN"/>
        </w:rPr>
        <w:t>单位本年退休人员增加，一次性职业年金缴费较上年增加。</w:t>
      </w:r>
    </w:p>
    <w:p w14:paraId="2BD49C43" w14:textId="046112A6" w:rsidR="0071384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4、社会保障和就业支出（类）抚恤（款）死亡抚恤（项）：支出决算数为0.79万元，与上年相比无变化，主要原因是：</w:t>
      </w:r>
      <w:r>
        <w:rPr>
          <w:rFonts w:ascii="仿宋_GB2312" w:eastAsia="仿宋_GB2312" w:hint="eastAsia"/>
          <w:sz w:val="32"/>
          <w:szCs w:val="32"/>
          <w:lang w:eastAsia="zh-CN"/>
        </w:rPr>
        <w:t>本年</w:t>
      </w:r>
      <w:r w:rsidR="00275336" w:rsidRPr="00492284">
        <w:rPr>
          <w:rFonts w:ascii="仿宋_GB2312" w:eastAsia="仿宋_GB2312" w:hint="eastAsia"/>
          <w:sz w:val="32"/>
          <w:szCs w:val="32"/>
          <w:lang w:eastAsia="zh-CN"/>
        </w:rPr>
        <w:t>人员丧葬费、抚恤金补助经费</w:t>
      </w:r>
      <w:r>
        <w:rPr>
          <w:rFonts w:ascii="仿宋_GB2312" w:eastAsia="仿宋_GB2312" w:hint="eastAsia"/>
          <w:sz w:val="32"/>
          <w:szCs w:val="32"/>
          <w:lang w:eastAsia="zh-CN"/>
        </w:rPr>
        <w:t>与上年对比一致无差异。</w:t>
      </w:r>
    </w:p>
    <w:p w14:paraId="167B8039" w14:textId="77777777" w:rsidR="0071384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5、住房保障支出（类）住房改革支出（款）住房公积金（项）：支出决算数为6.32万元，比上年决算减少0.47万元，下降6.92%，主要原因是：</w:t>
      </w:r>
      <w:r>
        <w:rPr>
          <w:rFonts w:ascii="仿宋_GB2312" w:eastAsia="仿宋_GB2312" w:hint="eastAsia"/>
          <w:sz w:val="32"/>
          <w:szCs w:val="32"/>
          <w:lang w:eastAsia="zh-CN"/>
        </w:rPr>
        <w:t>单位本年在职人员减少</w:t>
      </w:r>
      <w:r>
        <w:rPr>
          <w:rFonts w:ascii="仿宋_GB2312" w:eastAsia="仿宋_GB2312"/>
          <w:sz w:val="32"/>
          <w:szCs w:val="32"/>
          <w:lang w:eastAsia="zh-CN"/>
        </w:rPr>
        <w:t>，</w:t>
      </w:r>
      <w:r>
        <w:rPr>
          <w:rFonts w:ascii="仿宋_GB2312" w:eastAsia="仿宋_GB2312" w:hint="eastAsia"/>
          <w:sz w:val="32"/>
          <w:szCs w:val="32"/>
          <w:lang w:eastAsia="zh-CN"/>
        </w:rPr>
        <w:t>住房公积金缴费较上年</w:t>
      </w:r>
      <w:r>
        <w:rPr>
          <w:rFonts w:ascii="仿宋_GB2312" w:eastAsia="仿宋_GB2312"/>
          <w:sz w:val="32"/>
          <w:szCs w:val="32"/>
          <w:lang w:eastAsia="zh-CN"/>
        </w:rPr>
        <w:t>减少</w:t>
      </w:r>
      <w:r>
        <w:rPr>
          <w:rFonts w:ascii="仿宋_GB2312" w:eastAsia="仿宋_GB2312" w:hint="eastAsia"/>
          <w:sz w:val="32"/>
          <w:szCs w:val="32"/>
          <w:lang w:eastAsia="zh-CN"/>
        </w:rPr>
        <w:t>。</w:t>
      </w:r>
    </w:p>
    <w:p w14:paraId="1AF2C1EF" w14:textId="77777777" w:rsidR="0071384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6、灾害防治及应急管理支出（类）地震事务（款）</w:t>
      </w:r>
      <w:bookmarkStart w:id="4" w:name="OLE_LINK4"/>
      <w:r>
        <w:rPr>
          <w:rFonts w:ascii="仿宋_GB2312" w:eastAsia="仿宋_GB2312"/>
          <w:sz w:val="32"/>
          <w:szCs w:val="32"/>
          <w:lang w:eastAsia="zh-CN"/>
        </w:rPr>
        <w:t>行政运行（项）</w:t>
      </w:r>
      <w:bookmarkEnd w:id="4"/>
      <w:r>
        <w:rPr>
          <w:rFonts w:ascii="仿宋_GB2312" w:eastAsia="仿宋_GB2312"/>
          <w:sz w:val="32"/>
          <w:szCs w:val="32"/>
          <w:lang w:eastAsia="zh-CN"/>
        </w:rPr>
        <w:t>：支出决算数为72.74万元，比上年决算增加72.74万元，增长100.00%，主要原因是：</w:t>
      </w:r>
      <w:bookmarkStart w:id="5" w:name="OLE_LINK6"/>
      <w:r>
        <w:rPr>
          <w:rFonts w:ascii="仿宋_GB2312" w:eastAsia="仿宋_GB2312" w:hint="eastAsia"/>
          <w:sz w:val="32"/>
          <w:szCs w:val="32"/>
          <w:lang w:eastAsia="zh-CN"/>
        </w:rPr>
        <w:t>单位本年功能科目调整，将退休费从</w:t>
      </w:r>
      <w:r>
        <w:rPr>
          <w:rFonts w:ascii="仿宋_GB2312" w:eastAsia="仿宋_GB2312"/>
          <w:sz w:val="32"/>
          <w:szCs w:val="32"/>
          <w:lang w:eastAsia="zh-CN"/>
        </w:rPr>
        <w:t>事业单位离退休</w:t>
      </w:r>
      <w:r>
        <w:rPr>
          <w:rFonts w:ascii="仿宋_GB2312" w:eastAsia="仿宋_GB2312" w:hint="eastAsia"/>
          <w:sz w:val="32"/>
          <w:szCs w:val="32"/>
          <w:lang w:eastAsia="zh-CN"/>
        </w:rPr>
        <w:t>款项调整至</w:t>
      </w:r>
      <w:r>
        <w:rPr>
          <w:rFonts w:ascii="仿宋_GB2312" w:eastAsia="仿宋_GB2312"/>
          <w:sz w:val="32"/>
          <w:szCs w:val="32"/>
          <w:lang w:eastAsia="zh-CN"/>
        </w:rPr>
        <w:t>行政运行</w:t>
      </w:r>
      <w:r>
        <w:rPr>
          <w:rFonts w:ascii="仿宋_GB2312" w:eastAsia="仿宋_GB2312" w:hint="eastAsia"/>
          <w:sz w:val="32"/>
          <w:szCs w:val="32"/>
          <w:lang w:eastAsia="zh-CN"/>
        </w:rPr>
        <w:t>款项中核算</w:t>
      </w:r>
      <w:bookmarkEnd w:id="5"/>
      <w:r>
        <w:rPr>
          <w:rFonts w:ascii="仿宋_GB2312" w:eastAsia="仿宋_GB2312" w:hint="eastAsia"/>
          <w:sz w:val="32"/>
          <w:szCs w:val="32"/>
          <w:lang w:eastAsia="zh-CN"/>
        </w:rPr>
        <w:t>；将基本工资、津补贴、奖金等经费从</w:t>
      </w:r>
      <w:r>
        <w:rPr>
          <w:rFonts w:ascii="仿宋_GB2312" w:eastAsia="仿宋_GB2312"/>
          <w:sz w:val="32"/>
          <w:szCs w:val="32"/>
          <w:lang w:eastAsia="zh-CN"/>
        </w:rPr>
        <w:t>地震事业机构</w:t>
      </w:r>
      <w:r>
        <w:rPr>
          <w:rFonts w:ascii="仿宋_GB2312" w:eastAsia="仿宋_GB2312" w:hint="eastAsia"/>
          <w:sz w:val="32"/>
          <w:szCs w:val="32"/>
          <w:lang w:eastAsia="zh-CN"/>
        </w:rPr>
        <w:t>款项调整至</w:t>
      </w:r>
      <w:r>
        <w:rPr>
          <w:rFonts w:ascii="仿宋_GB2312" w:eastAsia="仿宋_GB2312"/>
          <w:sz w:val="32"/>
          <w:szCs w:val="32"/>
          <w:lang w:eastAsia="zh-CN"/>
        </w:rPr>
        <w:t>行政运行</w:t>
      </w:r>
      <w:r>
        <w:rPr>
          <w:rFonts w:ascii="仿宋_GB2312" w:eastAsia="仿宋_GB2312" w:hint="eastAsia"/>
          <w:sz w:val="32"/>
          <w:szCs w:val="32"/>
          <w:lang w:eastAsia="zh-CN"/>
        </w:rPr>
        <w:t>款项中核算，导致此项经费增加</w:t>
      </w:r>
      <w:r>
        <w:rPr>
          <w:rFonts w:ascii="仿宋_GB2312" w:eastAsia="仿宋_GB2312"/>
          <w:sz w:val="32"/>
          <w:szCs w:val="32"/>
          <w:lang w:eastAsia="zh-CN"/>
        </w:rPr>
        <w:t>。</w:t>
      </w:r>
    </w:p>
    <w:p w14:paraId="6E069C47" w14:textId="77777777" w:rsidR="0071384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7、灾害防治及应急管理支出（类）地震事务（款）地震监测（项）：支出决算数为0.00万元，比上年决算减少0.36万元，下降100.00%，主要原因是：</w:t>
      </w:r>
      <w:r>
        <w:rPr>
          <w:rFonts w:ascii="仿宋_GB2312" w:eastAsia="仿宋_GB2312" w:hint="eastAsia"/>
          <w:sz w:val="32"/>
          <w:szCs w:val="32"/>
          <w:lang w:eastAsia="zh-CN"/>
        </w:rPr>
        <w:t>我单位本年度劳务费较上年减少</w:t>
      </w:r>
      <w:r>
        <w:rPr>
          <w:rFonts w:ascii="仿宋_GB2312" w:eastAsia="仿宋_GB2312"/>
          <w:sz w:val="32"/>
          <w:szCs w:val="32"/>
          <w:lang w:eastAsia="zh-CN"/>
        </w:rPr>
        <w:t>。</w:t>
      </w:r>
    </w:p>
    <w:p w14:paraId="0EA64150" w14:textId="77777777" w:rsidR="0071384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8、灾害防治及应急管理支出（类）地震事务（款）地震预测预报（项）：支出决算数为1.20万元，比上年决算增加1.20万元，增长100.00%，主要原因是：</w:t>
      </w:r>
      <w:r>
        <w:rPr>
          <w:rFonts w:ascii="仿宋_GB2312" w:eastAsia="仿宋_GB2312" w:hint="eastAsia"/>
          <w:sz w:val="32"/>
          <w:szCs w:val="32"/>
          <w:lang w:eastAsia="zh-CN"/>
        </w:rPr>
        <w:t>单位本年度新增地震台运作经费。</w:t>
      </w:r>
    </w:p>
    <w:p w14:paraId="1B2454BC" w14:textId="77777777" w:rsidR="0071384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9、灾害防治及应急管理支出（类）地震事务（款）</w:t>
      </w:r>
      <w:bookmarkStart w:id="6" w:name="OLE_LINK7"/>
      <w:r>
        <w:rPr>
          <w:rFonts w:ascii="仿宋_GB2312" w:eastAsia="仿宋_GB2312"/>
          <w:sz w:val="32"/>
          <w:szCs w:val="32"/>
          <w:lang w:eastAsia="zh-CN"/>
        </w:rPr>
        <w:t>地震事业机构</w:t>
      </w:r>
      <w:bookmarkEnd w:id="6"/>
      <w:r>
        <w:rPr>
          <w:rFonts w:ascii="仿宋_GB2312" w:eastAsia="仿宋_GB2312"/>
          <w:sz w:val="32"/>
          <w:szCs w:val="32"/>
          <w:lang w:eastAsia="zh-CN"/>
        </w:rPr>
        <w:t>（项）：支出决算数为0.00万元，比上年决算减少85.55万元，下降100.00%，主要原因是：</w:t>
      </w:r>
      <w:bookmarkStart w:id="7" w:name="OLE_LINK8"/>
      <w:r>
        <w:rPr>
          <w:rFonts w:ascii="仿宋_GB2312" w:eastAsia="仿宋_GB2312" w:hint="eastAsia"/>
          <w:sz w:val="32"/>
          <w:szCs w:val="32"/>
          <w:lang w:eastAsia="zh-CN"/>
        </w:rPr>
        <w:t>单位本年功能科目调整，将基本工资、津补贴、奖金等经费从</w:t>
      </w:r>
      <w:r>
        <w:rPr>
          <w:rFonts w:ascii="仿宋_GB2312" w:eastAsia="仿宋_GB2312"/>
          <w:sz w:val="32"/>
          <w:szCs w:val="32"/>
          <w:lang w:eastAsia="zh-CN"/>
        </w:rPr>
        <w:t>地震事业机构</w:t>
      </w:r>
      <w:r>
        <w:rPr>
          <w:rFonts w:ascii="仿宋_GB2312" w:eastAsia="仿宋_GB2312" w:hint="eastAsia"/>
          <w:sz w:val="32"/>
          <w:szCs w:val="32"/>
          <w:lang w:eastAsia="zh-CN"/>
        </w:rPr>
        <w:t>款项调整至</w:t>
      </w:r>
      <w:r>
        <w:rPr>
          <w:rFonts w:ascii="仿宋_GB2312" w:eastAsia="仿宋_GB2312"/>
          <w:sz w:val="32"/>
          <w:szCs w:val="32"/>
          <w:lang w:eastAsia="zh-CN"/>
        </w:rPr>
        <w:t>行政运行</w:t>
      </w:r>
      <w:r>
        <w:rPr>
          <w:rFonts w:ascii="仿宋_GB2312" w:eastAsia="仿宋_GB2312" w:hint="eastAsia"/>
          <w:sz w:val="32"/>
          <w:szCs w:val="32"/>
          <w:lang w:eastAsia="zh-CN"/>
        </w:rPr>
        <w:t>款项中核算，导致此项经费减少</w:t>
      </w:r>
      <w:r>
        <w:rPr>
          <w:rFonts w:ascii="仿宋_GB2312" w:eastAsia="仿宋_GB2312"/>
          <w:sz w:val="32"/>
          <w:szCs w:val="32"/>
          <w:lang w:eastAsia="zh-CN"/>
        </w:rPr>
        <w:t>。</w:t>
      </w:r>
      <w:bookmarkEnd w:id="7"/>
    </w:p>
    <w:p w14:paraId="5BD36C63" w14:textId="77777777" w:rsidR="0071384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10、灾害防治及应急管理支出（类）地震事务（款）其他地震事务支出（项）：支出决算数为5.00万元，比上年决算增加5.00万元，增长100.00%，主要原因是：本年度新增</w:t>
      </w:r>
      <w:r>
        <w:rPr>
          <w:rFonts w:ascii="仿宋_GB2312" w:eastAsia="仿宋_GB2312" w:hint="eastAsia"/>
          <w:sz w:val="32"/>
          <w:szCs w:val="32"/>
          <w:lang w:eastAsia="zh-CN"/>
        </w:rPr>
        <w:t>地震台维修（护）费。</w:t>
      </w:r>
    </w:p>
    <w:p w14:paraId="58F205BA" w14:textId="77777777" w:rsidR="0071384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六、一般公共预算财政拨款基本支出决算情况说明</w:t>
      </w:r>
    </w:p>
    <w:p w14:paraId="57D2A2C3"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101.51万元，其中：人员经费94.53万元，包括：基本工资、津贴补贴、奖金、机关事业单位基本养老保险缴费、职业年金缴费、职工基本医疗保险缴费、公务员医疗补助缴费、其他社会保障缴费、住房公积金、退休费和抚恤金。</w:t>
      </w:r>
    </w:p>
    <w:p w14:paraId="46BAE5C9"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公用经费6.97万元，包括：办公费、电费、邮电费、取暖费、维修（护）费和工会经费。</w:t>
      </w:r>
    </w:p>
    <w:p w14:paraId="0B0E2CC9" w14:textId="77777777" w:rsidR="0071384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9D8C98D"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CB8F858" w14:textId="77777777" w:rsidR="0071384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6F1C24CD"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5BCCEB3" w14:textId="77777777" w:rsidR="0071384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752772D"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8" w:name="OLE_LINK9"/>
      <w:r>
        <w:rPr>
          <w:rFonts w:ascii="仿宋_GB2312" w:eastAsia="仿宋_GB2312" w:hint="eastAsia"/>
          <w:sz w:val="32"/>
          <w:szCs w:val="32"/>
          <w:lang w:eastAsia="zh-CN"/>
        </w:rPr>
        <w:t>我单位上年度与本年度均无“三公”经费</w:t>
      </w:r>
      <w:bookmarkEnd w:id="8"/>
      <w:r>
        <w:rPr>
          <w:rFonts w:ascii="仿宋_GB2312" w:eastAsia="仿宋_GB2312"/>
          <w:sz w:val="32"/>
          <w:szCs w:val="32"/>
          <w:lang w:eastAsia="zh-CN"/>
        </w:rPr>
        <w:t>。其中：因公出国（境）费支出0.00万元,占0.00%，与上年相比无变化，主要原因是：</w:t>
      </w:r>
      <w:bookmarkStart w:id="9" w:name="OLE_LINK10"/>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bookmarkEnd w:id="9"/>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w:t>
      </w:r>
      <w:r>
        <w:rPr>
          <w:rFonts w:ascii="仿宋_GB2312" w:eastAsia="仿宋_GB2312"/>
          <w:sz w:val="32"/>
          <w:szCs w:val="32"/>
          <w:lang w:eastAsia="zh-CN"/>
        </w:rPr>
        <w:t>；</w:t>
      </w:r>
      <w:bookmarkStart w:id="10" w:name="OLE_LINK11"/>
      <w:r>
        <w:rPr>
          <w:rFonts w:ascii="仿宋_GB2312" w:eastAsia="仿宋_GB2312"/>
          <w:sz w:val="32"/>
          <w:szCs w:val="32"/>
          <w:lang w:eastAsia="zh-CN"/>
        </w:rPr>
        <w:t>公务接待</w:t>
      </w:r>
      <w:bookmarkEnd w:id="10"/>
      <w:r>
        <w:rPr>
          <w:rFonts w:ascii="仿宋_GB2312" w:eastAsia="仿宋_GB2312"/>
          <w:sz w:val="32"/>
          <w:szCs w:val="32"/>
          <w:lang w:eastAsia="zh-CN"/>
        </w:rPr>
        <w:t>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11B2E480" w14:textId="77777777" w:rsidR="0071384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6F4AC3D"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1" w:name="OLE_LINK12"/>
      <w:r>
        <w:rPr>
          <w:rFonts w:ascii="仿宋_GB2312" w:eastAsia="仿宋_GB2312"/>
          <w:sz w:val="32"/>
          <w:szCs w:val="32"/>
          <w:lang w:eastAsia="zh-CN"/>
        </w:rPr>
        <w:t>我单位</w:t>
      </w:r>
      <w:r>
        <w:rPr>
          <w:rFonts w:ascii="仿宋_GB2312" w:eastAsia="仿宋_GB2312" w:hint="eastAsia"/>
          <w:sz w:val="32"/>
          <w:szCs w:val="32"/>
          <w:lang w:eastAsia="zh-CN"/>
        </w:rPr>
        <w:t>本年度无</w:t>
      </w:r>
      <w:r>
        <w:rPr>
          <w:rFonts w:ascii="仿宋_GB2312" w:eastAsia="仿宋_GB2312"/>
          <w:sz w:val="32"/>
          <w:szCs w:val="32"/>
          <w:lang w:eastAsia="zh-CN"/>
        </w:rPr>
        <w:t>因公出国（境）费</w:t>
      </w:r>
      <w:bookmarkEnd w:id="11"/>
      <w:r>
        <w:rPr>
          <w:rFonts w:ascii="仿宋_GB2312" w:eastAsia="仿宋_GB2312"/>
          <w:sz w:val="32"/>
          <w:szCs w:val="32"/>
          <w:lang w:eastAsia="zh-CN"/>
        </w:rPr>
        <w:t>。单位全年安排的因公出国（境）团组0个，因公出国（境）0人次。</w:t>
      </w:r>
    </w:p>
    <w:p w14:paraId="43805A4E" w14:textId="5D847F32" w:rsidR="00713849" w:rsidRDefault="00000000">
      <w:pPr>
        <w:spacing w:after="0" w:line="240" w:lineRule="auto"/>
        <w:ind w:firstLineChars="200" w:firstLine="640"/>
        <w:jc w:val="both"/>
        <w:rPr>
          <w:rFonts w:ascii="仿宋_GB2312" w:eastAsia="仿宋_GB2312" w:hint="eastAsia"/>
          <w:sz w:val="32"/>
          <w:szCs w:val="32"/>
          <w:lang w:eastAsia="zh-CN"/>
        </w:rPr>
      </w:pPr>
      <w:bookmarkStart w:id="12" w:name="OLE_LINK14"/>
      <w:r>
        <w:rPr>
          <w:rFonts w:ascii="仿宋_GB2312" w:eastAsia="仿宋_GB2312"/>
          <w:sz w:val="32"/>
          <w:szCs w:val="32"/>
          <w:lang w:eastAsia="zh-CN"/>
        </w:rPr>
        <w:t>公务用车购置及运行维护</w:t>
      </w:r>
      <w:bookmarkEnd w:id="12"/>
      <w:r>
        <w:rPr>
          <w:rFonts w:ascii="仿宋_GB2312" w:eastAsia="仿宋_GB2312"/>
          <w:sz w:val="32"/>
          <w:szCs w:val="32"/>
          <w:lang w:eastAsia="zh-CN"/>
        </w:rPr>
        <w:t>费0.00万元，其中：</w:t>
      </w:r>
      <w:bookmarkStart w:id="13" w:name="OLE_LINK13"/>
      <w:r>
        <w:rPr>
          <w:rFonts w:ascii="仿宋_GB2312" w:eastAsia="仿宋_GB2312"/>
          <w:sz w:val="32"/>
          <w:szCs w:val="32"/>
          <w:lang w:eastAsia="zh-CN"/>
        </w:rPr>
        <w:t>公务用车购置费0.00万元，</w:t>
      </w:r>
      <w:bookmarkEnd w:id="13"/>
      <w:r>
        <w:rPr>
          <w:rFonts w:ascii="仿宋_GB2312" w:eastAsia="仿宋_GB2312"/>
          <w:sz w:val="32"/>
          <w:szCs w:val="32"/>
          <w:lang w:eastAsia="zh-CN"/>
        </w:rPr>
        <w:t>公务用车运行维护费0.00万元。公务用车</w:t>
      </w:r>
      <w:r>
        <w:rPr>
          <w:rFonts w:ascii="仿宋_GB2312" w:eastAsia="仿宋_GB2312"/>
          <w:sz w:val="32"/>
          <w:szCs w:val="32"/>
          <w:lang w:eastAsia="zh-CN"/>
        </w:rPr>
        <w:lastRenderedPageBreak/>
        <w:t>运行维护费开支内容包括</w:t>
      </w:r>
      <w:bookmarkStart w:id="14" w:name="OLE_LINK15"/>
      <w:r>
        <w:rPr>
          <w:rFonts w:ascii="仿宋_GB2312" w:eastAsia="仿宋_GB2312"/>
          <w:sz w:val="32"/>
          <w:szCs w:val="32"/>
          <w:lang w:eastAsia="zh-CN"/>
        </w:rPr>
        <w:t>我单位</w:t>
      </w:r>
      <w:r>
        <w:rPr>
          <w:rFonts w:ascii="仿宋_GB2312" w:eastAsia="仿宋_GB2312" w:hint="eastAsia"/>
          <w:sz w:val="32"/>
          <w:szCs w:val="32"/>
          <w:lang w:eastAsia="zh-CN"/>
        </w:rPr>
        <w:t>本年度无</w:t>
      </w:r>
      <w:r>
        <w:rPr>
          <w:rFonts w:ascii="仿宋_GB2312" w:eastAsia="仿宋_GB2312"/>
          <w:sz w:val="32"/>
          <w:szCs w:val="32"/>
          <w:lang w:eastAsia="zh-CN"/>
        </w:rPr>
        <w:t>公务用车运行维护费</w:t>
      </w:r>
      <w:bookmarkEnd w:id="14"/>
      <w:r>
        <w:rPr>
          <w:rFonts w:ascii="仿宋_GB2312" w:eastAsia="仿宋_GB2312"/>
          <w:sz w:val="32"/>
          <w:szCs w:val="32"/>
          <w:lang w:eastAsia="zh-CN"/>
        </w:rPr>
        <w:t>。公务用车购置数0辆，公务用车保有量0辆。国有资产占用情况中固定资产车辆1辆，与公务用车保有量差异原因是：</w:t>
      </w:r>
      <w:r>
        <w:rPr>
          <w:rFonts w:ascii="仿宋_GB2312" w:eastAsia="仿宋_GB2312" w:hint="eastAsia"/>
          <w:sz w:val="32"/>
          <w:szCs w:val="32"/>
          <w:lang w:eastAsia="zh-CN"/>
        </w:rPr>
        <w:t>差异车辆为一般业务用车1辆，</w:t>
      </w:r>
      <w:r w:rsidR="00275336" w:rsidRPr="00275336">
        <w:rPr>
          <w:rFonts w:ascii="仿宋_GB2312" w:eastAsia="仿宋_GB2312" w:hint="eastAsia"/>
          <w:sz w:val="32"/>
          <w:szCs w:val="32"/>
          <w:lang w:eastAsia="zh-CN"/>
        </w:rPr>
        <w:t>车辆费用未使用财政拨款公务用车运行维护费支付，业务用车运行费用使用单位资金列支</w:t>
      </w:r>
      <w:r>
        <w:rPr>
          <w:rFonts w:ascii="仿宋_GB2312" w:eastAsia="仿宋_GB2312"/>
          <w:sz w:val="32"/>
          <w:szCs w:val="32"/>
          <w:lang w:eastAsia="zh-CN"/>
        </w:rPr>
        <w:t>。</w:t>
      </w:r>
    </w:p>
    <w:p w14:paraId="2E153A61"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公务接待费。单位全年安排的国内公务接待0批次，0人次。</w:t>
      </w:r>
    </w:p>
    <w:p w14:paraId="7F6D5F1F"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15" w:name="OLE_LINK16"/>
      <w:r>
        <w:rPr>
          <w:rFonts w:ascii="仿宋_GB2312" w:eastAsia="仿宋_GB2312" w:hint="eastAsia"/>
          <w:sz w:val="32"/>
          <w:szCs w:val="32"/>
          <w:lang w:eastAsia="zh-CN"/>
        </w:rPr>
        <w:t>严格按照预算执行，预决算对比无差异</w:t>
      </w:r>
      <w:bookmarkEnd w:id="15"/>
      <w:r>
        <w:rPr>
          <w:rFonts w:ascii="仿宋_GB2312" w:eastAsia="仿宋_GB2312"/>
          <w:sz w:val="32"/>
          <w:szCs w:val="32"/>
          <w:lang w:eastAsia="zh-CN"/>
        </w:rPr>
        <w:t>。其中：因公出国（境）费全年预算数0.00万元，决算数0.00万元，预决算差异率0.00%，主要原因是：</w:t>
      </w:r>
      <w:bookmarkStart w:id="16" w:name="OLE_LINK17"/>
      <w:r>
        <w:rPr>
          <w:rFonts w:ascii="仿宋_GB2312" w:eastAsia="仿宋_GB2312" w:hint="eastAsia"/>
          <w:sz w:val="32"/>
          <w:szCs w:val="32"/>
          <w:lang w:eastAsia="zh-CN"/>
        </w:rPr>
        <w:t>严格按照预算执行，预决算对比无差异</w:t>
      </w:r>
      <w:bookmarkEnd w:id="16"/>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1E717D5" w14:textId="77777777" w:rsidR="0071384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98A0BB0" w14:textId="77777777" w:rsidR="0071384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7FEF3973"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2024年度木垒哈萨克自治县地震台单位（行政单位和参照公务员法管理事业单位）机关运行经费支出6.97万元，比上年减少4.36万元，下降38.48%，主要原因是：</w:t>
      </w:r>
      <w:r>
        <w:rPr>
          <w:rFonts w:ascii="仿宋_GB2312" w:eastAsia="仿宋_GB2312" w:hint="eastAsia"/>
          <w:sz w:val="32"/>
          <w:szCs w:val="32"/>
          <w:lang w:eastAsia="zh-CN"/>
        </w:rPr>
        <w:t>单位本年办公费、电费、邮电费等公用经费较上年减少</w:t>
      </w:r>
      <w:r>
        <w:rPr>
          <w:rFonts w:ascii="仿宋_GB2312" w:eastAsia="仿宋_GB2312"/>
          <w:sz w:val="32"/>
          <w:szCs w:val="32"/>
          <w:lang w:eastAsia="zh-CN"/>
        </w:rPr>
        <w:t>。</w:t>
      </w:r>
    </w:p>
    <w:p w14:paraId="177BDACE" w14:textId="77777777" w:rsidR="0071384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0585C537"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2024年度政府采购支出总额16.31万元，其中：政府采购货物支出0.27万元、政府采购工程支出16.04万元、政府采购服务支出0.00万元。</w:t>
      </w:r>
    </w:p>
    <w:p w14:paraId="77EB812E"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授予中小企业合同金额16.31万元，占政府采购支出总额的100.00%，其中：授予小微企业合同金额16.31万元，占政府采购支出总额的100.00%。</w:t>
      </w:r>
    </w:p>
    <w:p w14:paraId="20C7B660" w14:textId="77777777" w:rsidR="0071384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28AC53AC"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3.00万元，其中：副部（省）级及以上领导用车0辆、主要负责人用车0辆、机要通信用车0辆、应急保障用车0辆、执法执勤用车0辆、特种专业技术用车0辆、离退休干部服务用车0辆、其他用车1辆，其他用车主要是：</w:t>
      </w:r>
      <w:r>
        <w:rPr>
          <w:rFonts w:ascii="仿宋_GB2312" w:eastAsia="仿宋_GB2312" w:hint="eastAsia"/>
          <w:sz w:val="32"/>
          <w:szCs w:val="32"/>
          <w:lang w:eastAsia="zh-CN"/>
        </w:rPr>
        <w:t>业务用车</w:t>
      </w:r>
      <w:r>
        <w:rPr>
          <w:rFonts w:ascii="仿宋_GB2312" w:eastAsia="仿宋_GB2312"/>
          <w:sz w:val="32"/>
          <w:szCs w:val="32"/>
          <w:lang w:eastAsia="zh-CN"/>
        </w:rPr>
        <w:t>;单价100万元（含）以上设备（不含车辆）0台（套）。</w:t>
      </w:r>
    </w:p>
    <w:p w14:paraId="7612BC4E" w14:textId="77777777" w:rsidR="0071384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7CEFFD6"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根据预算绩效管理要求，本单位2024年度预算绩效管理形成整体支出绩效自评表1个，全年预算总额12</w:t>
      </w:r>
      <w:r>
        <w:rPr>
          <w:rFonts w:ascii="仿宋_GB2312" w:eastAsia="仿宋_GB2312" w:hint="eastAsia"/>
          <w:sz w:val="32"/>
          <w:szCs w:val="32"/>
          <w:lang w:eastAsia="zh-CN"/>
        </w:rPr>
        <w:t>1</w:t>
      </w:r>
      <w:r>
        <w:rPr>
          <w:rFonts w:ascii="仿宋_GB2312" w:eastAsia="仿宋_GB2312"/>
          <w:sz w:val="32"/>
          <w:szCs w:val="32"/>
          <w:lang w:eastAsia="zh-CN"/>
        </w:rPr>
        <w:t>.</w:t>
      </w:r>
      <w:r>
        <w:rPr>
          <w:rFonts w:ascii="仿宋_GB2312" w:eastAsia="仿宋_GB2312" w:hint="eastAsia"/>
          <w:sz w:val="32"/>
          <w:szCs w:val="32"/>
          <w:lang w:eastAsia="zh-CN"/>
        </w:rPr>
        <w:t>70</w:t>
      </w:r>
      <w:r>
        <w:rPr>
          <w:rFonts w:ascii="仿宋_GB2312" w:eastAsia="仿宋_GB2312"/>
          <w:sz w:val="32"/>
          <w:szCs w:val="32"/>
          <w:lang w:eastAsia="zh-CN"/>
        </w:rPr>
        <w:t>万元，实际执行总额12</w:t>
      </w:r>
      <w:r>
        <w:rPr>
          <w:rFonts w:ascii="仿宋_GB2312" w:eastAsia="仿宋_GB2312" w:hint="eastAsia"/>
          <w:sz w:val="32"/>
          <w:szCs w:val="32"/>
          <w:lang w:eastAsia="zh-CN"/>
        </w:rPr>
        <w:t>1</w:t>
      </w:r>
      <w:r>
        <w:rPr>
          <w:rFonts w:ascii="仿宋_GB2312" w:eastAsia="仿宋_GB2312"/>
          <w:sz w:val="32"/>
          <w:szCs w:val="32"/>
          <w:lang w:eastAsia="zh-CN"/>
        </w:rPr>
        <w:t>.</w:t>
      </w:r>
      <w:r>
        <w:rPr>
          <w:rFonts w:ascii="仿宋_GB2312" w:eastAsia="仿宋_GB2312" w:hint="eastAsia"/>
          <w:sz w:val="32"/>
          <w:szCs w:val="32"/>
          <w:lang w:eastAsia="zh-CN"/>
        </w:rPr>
        <w:t>70</w:t>
      </w:r>
      <w:r>
        <w:rPr>
          <w:rFonts w:ascii="仿宋_GB2312" w:eastAsia="仿宋_GB2312"/>
          <w:sz w:val="32"/>
          <w:szCs w:val="32"/>
          <w:lang w:eastAsia="zh-CN"/>
        </w:rPr>
        <w:t>万元；预算绩效评价项目1个，全年预算数0.84万元，全年执行数0.84万元。预算绩效管理取得的成效：一是2024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二是结合我单位实际情合理分配资金，以达到合理高效地运用资金、提升资金的产出效果、节约成本与资源、提高部门的办事效率的目的。在部门预算整体支出绩效方面都按规定严格执行，合理安排支出，使财政资金发挥出最大的效益。发现的问题及原因：一是在预算编制环节，木垒县地震台存在预算内容与实际业务需求脱节的现象。二是部分项目预算金额缺乏精准测算，导致预算执行过程中频繁出现资金不足或资金闲置的情况。例如，在地震监测设备采购项目中，由于前期对市场价格波动、设备型号升级等因素考虑不充分，预算金额无法满足实际采购需求，不得不申请追加预算，影响了项目进度和资金使用效率。预算执行进度不均衡也是突出问题。在年度预算执行</w:t>
      </w:r>
      <w:r>
        <w:rPr>
          <w:rFonts w:ascii="仿宋_GB2312" w:eastAsia="仿宋_GB2312"/>
          <w:sz w:val="32"/>
          <w:szCs w:val="32"/>
          <w:lang w:eastAsia="zh-CN"/>
        </w:rPr>
        <w:lastRenderedPageBreak/>
        <w:t>过程中，存在前期执行缓慢，后期集中支出的</w:t>
      </w:r>
      <w:bookmarkStart w:id="17" w:name="OLE_LINK19"/>
      <w:r>
        <w:rPr>
          <w:rFonts w:ascii="仿宋_GB2312" w:eastAsia="仿宋_GB2312" w:hint="eastAsia"/>
          <w:sz w:val="32"/>
          <w:szCs w:val="32"/>
          <w:lang w:eastAsia="zh-CN"/>
        </w:rPr>
        <w:t>“</w:t>
      </w:r>
      <w:r>
        <w:rPr>
          <w:rFonts w:ascii="仿宋_GB2312" w:eastAsia="仿宋_GB2312"/>
          <w:sz w:val="32"/>
          <w:szCs w:val="32"/>
          <w:lang w:eastAsia="zh-CN"/>
        </w:rPr>
        <w:t>前松后紧</w:t>
      </w:r>
      <w:bookmarkStart w:id="18" w:name="OLE_LINK18"/>
      <w:r>
        <w:rPr>
          <w:rFonts w:ascii="仿宋_GB2312" w:eastAsia="仿宋_GB2312" w:hint="eastAsia"/>
          <w:sz w:val="32"/>
          <w:szCs w:val="32"/>
          <w:lang w:eastAsia="zh-CN"/>
        </w:rPr>
        <w:t>”</w:t>
      </w:r>
      <w:bookmarkEnd w:id="17"/>
      <w:bookmarkEnd w:id="18"/>
      <w:r>
        <w:rPr>
          <w:rFonts w:ascii="仿宋_GB2312" w:eastAsia="仿宋_GB2312"/>
          <w:sz w:val="32"/>
          <w:szCs w:val="32"/>
          <w:lang w:eastAsia="zh-CN"/>
        </w:rPr>
        <w:t>现象。一些季度性或阶段性的工作任务，资金拨付与工作开展进度不匹配，使得部分工作因资金不到位而延迟，临近年末为完成预算支出任务，又出现突击花钱的情况，这种不合理的资金支出节奏，不仅降低了资金使用效益，还可能带来资金管理风险。下一步改进措施：一是提升预算编制科学性组织预算编制人员参加专业培训，内容涵盖市场调研方法、成本估算工具（如零基预算法、滚动预算法）及行业最新标准，邀请财政部门或专业机构的专家进行指导，增强其对市场动态的把握能力与成本预测精准度。同时，建立跨部门协同预算编制机制，在编制预算前，由财务部门牵头，联合业务部门开展项目需求调研，共同分析项目必要性、可行性及成本构成，确保预算内容紧密贴合实际业务需求，减少因预算偏差导致的资金追加或闲置问题。二是强化预算执行监控与考核构建动态化预算执行监控体系，制定月度、季度预算执行分析制度，定期对比预算执行进度与计划进度，分析偏差原因并及时预警。建立预算执行绩效考核机制，将预算执行率、资金使用合规性等指标纳入部门和个人绩效考核，与绩效奖金、评优评先挂钩，对执行不力的部门和个人进行问责，激发全员执行预算的积极性与主动性，改善</w:t>
      </w:r>
      <w:r>
        <w:rPr>
          <w:rFonts w:ascii="仿宋_GB2312" w:eastAsia="仿宋_GB2312" w:hint="eastAsia"/>
          <w:sz w:val="32"/>
          <w:szCs w:val="32"/>
          <w:lang w:eastAsia="zh-CN"/>
        </w:rPr>
        <w:t>“前松后紧”</w:t>
      </w:r>
      <w:r>
        <w:rPr>
          <w:rFonts w:ascii="仿宋_GB2312" w:eastAsia="仿宋_GB2312"/>
          <w:sz w:val="32"/>
          <w:szCs w:val="32"/>
          <w:lang w:eastAsia="zh-CN"/>
        </w:rPr>
        <w:t>的执行状况。具体附部门整体支出绩效自评表，项目支出绩效自评表和部门评价报告。</w:t>
      </w:r>
    </w:p>
    <w:p w14:paraId="6B398630" w14:textId="77777777" w:rsidR="00713849" w:rsidRDefault="00713849">
      <w:pPr>
        <w:widowControl w:val="0"/>
        <w:spacing w:after="0" w:line="240" w:lineRule="auto"/>
        <w:rPr>
          <w:rFonts w:ascii="宋体" w:eastAsia="宋体" w:hAnsi="宋体" w:cs="Times New Roman" w:hint="eastAsia"/>
          <w:b/>
          <w:bCs/>
          <w:sz w:val="18"/>
          <w:szCs w:val="18"/>
          <w:lang w:eastAsia="zh-CN"/>
        </w:rPr>
      </w:pPr>
    </w:p>
    <w:p w14:paraId="18DDCA4A" w14:textId="77777777" w:rsidR="00713849"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0FA62D43" w14:textId="77777777" w:rsidR="00713849"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713849" w14:paraId="7E7BBBE7"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523158A"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DFE43CB"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木垒哈萨克自治县地震台</w:t>
            </w:r>
          </w:p>
        </w:tc>
      </w:tr>
      <w:tr w:rsidR="00713849" w14:paraId="6E5D78CB" w14:textId="77777777">
        <w:trPr>
          <w:cantSplit/>
          <w:trHeight w:val="570"/>
        </w:trPr>
        <w:tc>
          <w:tcPr>
            <w:tcW w:w="993" w:type="dxa"/>
            <w:vMerge w:val="restart"/>
            <w:tcBorders>
              <w:top w:val="nil"/>
              <w:left w:val="single" w:sz="4" w:space="0" w:color="auto"/>
              <w:bottom w:val="single" w:sz="4" w:space="0" w:color="auto"/>
              <w:right w:val="single" w:sz="4" w:space="0" w:color="auto"/>
            </w:tcBorders>
            <w:vAlign w:val="center"/>
          </w:tcPr>
          <w:p w14:paraId="6BE4821A" w14:textId="77777777" w:rsidR="00713849" w:rsidRDefault="00000000">
            <w:pPr>
              <w:spacing w:after="0" w:line="240" w:lineRule="auto"/>
              <w:jc w:val="center"/>
              <w:rPr>
                <w:rFonts w:ascii="宋体" w:eastAsia="宋体" w:hAnsi="宋体" w:cs="Times New Roman" w:hint="eastAsia"/>
                <w:b/>
                <w:bCs/>
                <w:sz w:val="18"/>
                <w:szCs w:val="18"/>
                <w:lang w:eastAsia="zh-CN"/>
              </w:rPr>
            </w:pPr>
            <w:bookmarkStart w:id="19" w:name="_Hlk209542300"/>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386022F2"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5B296F5C"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5FA20745"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65FDBCA7"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523B43A9"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69F80F0"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70224928"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713849" w14:paraId="6412645B" w14:textId="77777777">
        <w:trPr>
          <w:cantSplit/>
          <w:trHeight w:val="489"/>
        </w:trPr>
        <w:tc>
          <w:tcPr>
            <w:tcW w:w="993" w:type="dxa"/>
            <w:vMerge/>
            <w:tcBorders>
              <w:top w:val="nil"/>
              <w:left w:val="single" w:sz="4" w:space="0" w:color="auto"/>
              <w:bottom w:val="single" w:sz="4" w:space="0" w:color="auto"/>
              <w:right w:val="single" w:sz="4" w:space="0" w:color="auto"/>
            </w:tcBorders>
            <w:vAlign w:val="center"/>
          </w:tcPr>
          <w:p w14:paraId="12EFE7EE" w14:textId="77777777" w:rsidR="00713849" w:rsidRDefault="00713849">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18A14365"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7DA33A6D"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7A056566"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3C0FF95C"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4BDE0946"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2016ADE1"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21195659"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713849" w14:paraId="4BF29DE2" w14:textId="77777777">
        <w:trPr>
          <w:cantSplit/>
          <w:trHeight w:val="425"/>
        </w:trPr>
        <w:tc>
          <w:tcPr>
            <w:tcW w:w="993" w:type="dxa"/>
            <w:vMerge/>
            <w:tcBorders>
              <w:top w:val="nil"/>
              <w:left w:val="single" w:sz="4" w:space="0" w:color="auto"/>
              <w:bottom w:val="single" w:sz="4" w:space="0" w:color="auto"/>
              <w:right w:val="single" w:sz="4" w:space="0" w:color="auto"/>
            </w:tcBorders>
            <w:vAlign w:val="center"/>
          </w:tcPr>
          <w:p w14:paraId="30A0D099" w14:textId="77777777" w:rsidR="00713849" w:rsidRDefault="00713849">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46F59BF"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5ED2B7E5"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106.84</w:t>
            </w:r>
          </w:p>
        </w:tc>
        <w:tc>
          <w:tcPr>
            <w:tcW w:w="1242" w:type="dxa"/>
            <w:tcBorders>
              <w:top w:val="nil"/>
              <w:left w:val="nil"/>
              <w:bottom w:val="single" w:sz="4" w:space="0" w:color="auto"/>
              <w:right w:val="single" w:sz="4" w:space="0" w:color="auto"/>
            </w:tcBorders>
            <w:vAlign w:val="center"/>
          </w:tcPr>
          <w:p w14:paraId="54E5BF48"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102.71</w:t>
            </w:r>
          </w:p>
        </w:tc>
        <w:tc>
          <w:tcPr>
            <w:tcW w:w="1417" w:type="dxa"/>
            <w:tcBorders>
              <w:top w:val="nil"/>
              <w:left w:val="nil"/>
              <w:bottom w:val="single" w:sz="4" w:space="0" w:color="auto"/>
              <w:right w:val="single" w:sz="4" w:space="0" w:color="auto"/>
            </w:tcBorders>
            <w:vAlign w:val="center"/>
          </w:tcPr>
          <w:p w14:paraId="0CE80700"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102.71</w:t>
            </w:r>
          </w:p>
        </w:tc>
        <w:tc>
          <w:tcPr>
            <w:tcW w:w="1134" w:type="dxa"/>
            <w:tcBorders>
              <w:top w:val="nil"/>
              <w:left w:val="nil"/>
              <w:bottom w:val="single" w:sz="4" w:space="0" w:color="auto"/>
              <w:right w:val="single" w:sz="4" w:space="0" w:color="auto"/>
            </w:tcBorders>
            <w:vAlign w:val="center"/>
          </w:tcPr>
          <w:p w14:paraId="3C61364F"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786D4E16"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14599695"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713849" w14:paraId="19F56365" w14:textId="77777777">
        <w:trPr>
          <w:cantSplit/>
          <w:trHeight w:val="416"/>
        </w:trPr>
        <w:tc>
          <w:tcPr>
            <w:tcW w:w="993" w:type="dxa"/>
            <w:vMerge/>
            <w:tcBorders>
              <w:top w:val="nil"/>
              <w:left w:val="single" w:sz="4" w:space="0" w:color="auto"/>
              <w:bottom w:val="single" w:sz="4" w:space="0" w:color="auto"/>
              <w:right w:val="single" w:sz="4" w:space="0" w:color="auto"/>
            </w:tcBorders>
            <w:vAlign w:val="center"/>
          </w:tcPr>
          <w:p w14:paraId="359FB314" w14:textId="77777777" w:rsidR="00713849" w:rsidRDefault="00713849">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AA5E726"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59A17153"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23.00</w:t>
            </w:r>
          </w:p>
        </w:tc>
        <w:tc>
          <w:tcPr>
            <w:tcW w:w="1242" w:type="dxa"/>
            <w:tcBorders>
              <w:top w:val="nil"/>
              <w:left w:val="nil"/>
              <w:bottom w:val="single" w:sz="4" w:space="0" w:color="auto"/>
              <w:right w:val="single" w:sz="4" w:space="0" w:color="auto"/>
            </w:tcBorders>
            <w:vAlign w:val="center"/>
          </w:tcPr>
          <w:p w14:paraId="218552CC"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18.99</w:t>
            </w:r>
          </w:p>
        </w:tc>
        <w:tc>
          <w:tcPr>
            <w:tcW w:w="1417" w:type="dxa"/>
            <w:tcBorders>
              <w:top w:val="nil"/>
              <w:left w:val="nil"/>
              <w:bottom w:val="single" w:sz="4" w:space="0" w:color="auto"/>
              <w:right w:val="single" w:sz="4" w:space="0" w:color="auto"/>
            </w:tcBorders>
            <w:vAlign w:val="center"/>
          </w:tcPr>
          <w:p w14:paraId="12C62731"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18.99</w:t>
            </w:r>
          </w:p>
        </w:tc>
        <w:tc>
          <w:tcPr>
            <w:tcW w:w="1134" w:type="dxa"/>
            <w:tcBorders>
              <w:top w:val="nil"/>
              <w:left w:val="nil"/>
              <w:bottom w:val="single" w:sz="4" w:space="0" w:color="auto"/>
              <w:right w:val="single" w:sz="4" w:space="0" w:color="auto"/>
            </w:tcBorders>
            <w:vAlign w:val="center"/>
          </w:tcPr>
          <w:p w14:paraId="56DA366D"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0C66D336"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5FC16966"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713849" w14:paraId="205AD536" w14:textId="77777777">
        <w:trPr>
          <w:cantSplit/>
          <w:trHeight w:val="415"/>
        </w:trPr>
        <w:tc>
          <w:tcPr>
            <w:tcW w:w="993" w:type="dxa"/>
            <w:vMerge/>
            <w:tcBorders>
              <w:top w:val="nil"/>
              <w:left w:val="single" w:sz="4" w:space="0" w:color="auto"/>
              <w:bottom w:val="single" w:sz="4" w:space="0" w:color="auto"/>
              <w:right w:val="single" w:sz="4" w:space="0" w:color="auto"/>
            </w:tcBorders>
            <w:vAlign w:val="center"/>
          </w:tcPr>
          <w:p w14:paraId="75F2DE66" w14:textId="77777777" w:rsidR="00713849" w:rsidRDefault="00713849">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14ADE8D"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3048857D"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129.84</w:t>
            </w:r>
          </w:p>
        </w:tc>
        <w:tc>
          <w:tcPr>
            <w:tcW w:w="1242" w:type="dxa"/>
            <w:tcBorders>
              <w:top w:val="nil"/>
              <w:left w:val="nil"/>
              <w:bottom w:val="single" w:sz="4" w:space="0" w:color="auto"/>
              <w:right w:val="single" w:sz="4" w:space="0" w:color="auto"/>
            </w:tcBorders>
            <w:vAlign w:val="center"/>
          </w:tcPr>
          <w:p w14:paraId="6935E413"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121.70</w:t>
            </w:r>
          </w:p>
        </w:tc>
        <w:tc>
          <w:tcPr>
            <w:tcW w:w="1417" w:type="dxa"/>
            <w:tcBorders>
              <w:top w:val="nil"/>
              <w:left w:val="nil"/>
              <w:bottom w:val="single" w:sz="4" w:space="0" w:color="auto"/>
              <w:right w:val="single" w:sz="4" w:space="0" w:color="auto"/>
            </w:tcBorders>
            <w:vAlign w:val="center"/>
          </w:tcPr>
          <w:p w14:paraId="537BA62C"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121.70</w:t>
            </w:r>
          </w:p>
        </w:tc>
        <w:tc>
          <w:tcPr>
            <w:tcW w:w="1134" w:type="dxa"/>
            <w:tcBorders>
              <w:top w:val="nil"/>
              <w:left w:val="nil"/>
              <w:bottom w:val="single" w:sz="4" w:space="0" w:color="auto"/>
              <w:right w:val="single" w:sz="4" w:space="0" w:color="auto"/>
            </w:tcBorders>
            <w:vAlign w:val="center"/>
          </w:tcPr>
          <w:p w14:paraId="49A2D27B"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06719320"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4E25EF51"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r>
      <w:bookmarkEnd w:id="19"/>
      <w:tr w:rsidR="00713849" w14:paraId="543B38B7" w14:textId="77777777">
        <w:trPr>
          <w:cantSplit/>
          <w:trHeight w:val="341"/>
        </w:trPr>
        <w:tc>
          <w:tcPr>
            <w:tcW w:w="993" w:type="dxa"/>
            <w:vMerge w:val="restart"/>
            <w:tcBorders>
              <w:top w:val="nil"/>
              <w:left w:val="single" w:sz="4" w:space="0" w:color="auto"/>
              <w:bottom w:val="single" w:sz="4" w:space="0" w:color="auto"/>
              <w:right w:val="single" w:sz="4" w:space="0" w:color="auto"/>
            </w:tcBorders>
            <w:vAlign w:val="center"/>
          </w:tcPr>
          <w:p w14:paraId="57B249D7"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DC7930C"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C611A50"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r>
      <w:tr w:rsidR="00713849" w14:paraId="5FBCEC74" w14:textId="77777777">
        <w:trPr>
          <w:cantSplit/>
          <w:trHeight w:val="705"/>
        </w:trPr>
        <w:tc>
          <w:tcPr>
            <w:tcW w:w="993" w:type="dxa"/>
            <w:vMerge/>
            <w:tcBorders>
              <w:top w:val="nil"/>
              <w:left w:val="single" w:sz="4" w:space="0" w:color="auto"/>
              <w:bottom w:val="single" w:sz="4" w:space="0" w:color="auto"/>
              <w:right w:val="single" w:sz="4" w:space="0" w:color="auto"/>
            </w:tcBorders>
            <w:vAlign w:val="center"/>
          </w:tcPr>
          <w:p w14:paraId="7EFBB385" w14:textId="77777777" w:rsidR="00713849" w:rsidRDefault="00713849">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1922FCDD" w14:textId="77777777" w:rsidR="0071384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保障地震测震仪器设备的正常运转；保证地震观测资料、观测数据的及时上报；做好宏观观测点的管理工作，及时发现、核实、应对地震宏观异常现象和情况；开展防震减灾宣传教育工作。普及防震减灾知识，提高全社会的减灾意识，为为政府和社会提供稳定的防震减灾服务和有效的信息支撑。</w:t>
            </w:r>
          </w:p>
        </w:tc>
        <w:tc>
          <w:tcPr>
            <w:tcW w:w="4581" w:type="dxa"/>
            <w:gridSpan w:val="4"/>
            <w:tcBorders>
              <w:top w:val="single" w:sz="4" w:space="0" w:color="auto"/>
              <w:left w:val="nil"/>
              <w:bottom w:val="single" w:sz="4" w:space="0" w:color="auto"/>
              <w:right w:val="single" w:sz="4" w:space="0" w:color="auto"/>
            </w:tcBorders>
          </w:tcPr>
          <w:p w14:paraId="6E4B7463" w14:textId="77777777" w:rsidR="0071384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截止本次自评节点，我单位已建设地震预警终端20个，对全县5个宏观观测点加强管理，全年开展了2次地震应急演练活动，开展了2次地防震减灾宣传活动，宏观观测员培训次数2次，提高了应急处理的科学性和精准性，有效地提高了全社会的防灾救灾意识，让公众了解地震并掌握应对方法。</w:t>
            </w:r>
          </w:p>
        </w:tc>
      </w:tr>
      <w:tr w:rsidR="00713849" w14:paraId="6C5DA92E"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6DC80CF5"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2EA605A5"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3233617C"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782FA404"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56B422B7"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57A4AAA9"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333E99D"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59960C2B" w14:textId="77777777" w:rsidR="0071384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713849" w14:paraId="4E4BEC64" w14:textId="77777777">
        <w:trPr>
          <w:cantSplit/>
          <w:trHeight w:val="740"/>
        </w:trPr>
        <w:tc>
          <w:tcPr>
            <w:tcW w:w="993" w:type="dxa"/>
            <w:vMerge w:val="restart"/>
            <w:tcBorders>
              <w:top w:val="nil"/>
              <w:left w:val="single" w:sz="4" w:space="0" w:color="auto"/>
              <w:bottom w:val="nil"/>
              <w:right w:val="single" w:sz="4" w:space="0" w:color="auto"/>
            </w:tcBorders>
            <w:noWrap/>
            <w:vAlign w:val="center"/>
          </w:tcPr>
          <w:p w14:paraId="60304890"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nil"/>
              <w:left w:val="nil"/>
              <w:bottom w:val="nil"/>
              <w:right w:val="single" w:sz="4" w:space="0" w:color="auto"/>
            </w:tcBorders>
            <w:noWrap/>
            <w:vAlign w:val="center"/>
          </w:tcPr>
          <w:p w14:paraId="375CAA15"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78F5C570"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建设地震预警终端</w:t>
            </w:r>
          </w:p>
        </w:tc>
        <w:tc>
          <w:tcPr>
            <w:tcW w:w="1242" w:type="dxa"/>
            <w:tcBorders>
              <w:top w:val="nil"/>
              <w:left w:val="nil"/>
              <w:bottom w:val="single" w:sz="4" w:space="0" w:color="auto"/>
              <w:right w:val="single" w:sz="4" w:space="0" w:color="auto"/>
            </w:tcBorders>
            <w:noWrap/>
            <w:vAlign w:val="center"/>
          </w:tcPr>
          <w:p w14:paraId="07A4436A"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&gt;=20个</w:t>
            </w:r>
          </w:p>
        </w:tc>
        <w:tc>
          <w:tcPr>
            <w:tcW w:w="1417" w:type="dxa"/>
            <w:tcBorders>
              <w:top w:val="nil"/>
              <w:left w:val="nil"/>
              <w:bottom w:val="single" w:sz="4" w:space="0" w:color="auto"/>
              <w:right w:val="single" w:sz="4" w:space="0" w:color="auto"/>
            </w:tcBorders>
            <w:noWrap/>
            <w:vAlign w:val="center"/>
          </w:tcPr>
          <w:p w14:paraId="43BAF85F" w14:textId="77777777" w:rsidR="0071384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76D73D8F"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3A618A1D"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20个</w:t>
            </w:r>
          </w:p>
        </w:tc>
        <w:tc>
          <w:tcPr>
            <w:tcW w:w="720" w:type="dxa"/>
            <w:tcBorders>
              <w:top w:val="nil"/>
              <w:left w:val="nil"/>
              <w:bottom w:val="single" w:sz="4" w:space="0" w:color="auto"/>
              <w:right w:val="single" w:sz="4" w:space="0" w:color="auto"/>
            </w:tcBorders>
            <w:noWrap/>
            <w:vAlign w:val="center"/>
          </w:tcPr>
          <w:p w14:paraId="4AFC5B6B"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r>
      <w:tr w:rsidR="00713849" w14:paraId="401694A9" w14:textId="77777777">
        <w:trPr>
          <w:cantSplit/>
          <w:trHeight w:val="740"/>
        </w:trPr>
        <w:tc>
          <w:tcPr>
            <w:tcW w:w="993" w:type="dxa"/>
            <w:vMerge/>
            <w:tcBorders>
              <w:top w:val="nil"/>
              <w:left w:val="single" w:sz="4" w:space="0" w:color="auto"/>
              <w:bottom w:val="nil"/>
              <w:right w:val="single" w:sz="4" w:space="0" w:color="auto"/>
            </w:tcBorders>
            <w:vAlign w:val="center"/>
          </w:tcPr>
          <w:p w14:paraId="51B88DF8" w14:textId="77777777" w:rsidR="00713849" w:rsidRDefault="00713849">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302B5489" w14:textId="77777777" w:rsidR="00713849" w:rsidRDefault="0071384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956E5C3"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开展地震应急演练</w:t>
            </w:r>
          </w:p>
        </w:tc>
        <w:tc>
          <w:tcPr>
            <w:tcW w:w="1242" w:type="dxa"/>
            <w:tcBorders>
              <w:top w:val="nil"/>
              <w:left w:val="nil"/>
              <w:bottom w:val="single" w:sz="4" w:space="0" w:color="auto"/>
              <w:right w:val="single" w:sz="4" w:space="0" w:color="auto"/>
            </w:tcBorders>
            <w:noWrap/>
            <w:vAlign w:val="center"/>
          </w:tcPr>
          <w:p w14:paraId="65B92315"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&gt;=2次</w:t>
            </w:r>
          </w:p>
        </w:tc>
        <w:tc>
          <w:tcPr>
            <w:tcW w:w="1417" w:type="dxa"/>
            <w:tcBorders>
              <w:top w:val="nil"/>
              <w:left w:val="nil"/>
              <w:bottom w:val="single" w:sz="4" w:space="0" w:color="auto"/>
              <w:right w:val="single" w:sz="4" w:space="0" w:color="auto"/>
            </w:tcBorders>
            <w:noWrap/>
            <w:vAlign w:val="center"/>
          </w:tcPr>
          <w:p w14:paraId="0A83D425" w14:textId="77777777" w:rsidR="0071384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7E6E380D"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656935CB"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10419C51"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r>
      <w:tr w:rsidR="00713849" w14:paraId="457EB424" w14:textId="77777777">
        <w:trPr>
          <w:cantSplit/>
          <w:trHeight w:val="740"/>
        </w:trPr>
        <w:tc>
          <w:tcPr>
            <w:tcW w:w="993" w:type="dxa"/>
            <w:vMerge/>
            <w:tcBorders>
              <w:top w:val="nil"/>
              <w:left w:val="single" w:sz="4" w:space="0" w:color="auto"/>
              <w:bottom w:val="nil"/>
              <w:right w:val="single" w:sz="4" w:space="0" w:color="auto"/>
            </w:tcBorders>
            <w:vAlign w:val="center"/>
          </w:tcPr>
          <w:p w14:paraId="3D51EAF1" w14:textId="77777777" w:rsidR="00713849" w:rsidRDefault="00713849">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0AAEE756" w14:textId="77777777" w:rsidR="00713849" w:rsidRDefault="0071384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2ED822A"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全年地震监测天数</w:t>
            </w:r>
          </w:p>
        </w:tc>
        <w:tc>
          <w:tcPr>
            <w:tcW w:w="1242" w:type="dxa"/>
            <w:tcBorders>
              <w:top w:val="nil"/>
              <w:left w:val="nil"/>
              <w:bottom w:val="single" w:sz="4" w:space="0" w:color="auto"/>
              <w:right w:val="single" w:sz="4" w:space="0" w:color="auto"/>
            </w:tcBorders>
            <w:noWrap/>
            <w:vAlign w:val="center"/>
          </w:tcPr>
          <w:p w14:paraId="1CA780BE"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=365天</w:t>
            </w:r>
          </w:p>
        </w:tc>
        <w:tc>
          <w:tcPr>
            <w:tcW w:w="1417" w:type="dxa"/>
            <w:tcBorders>
              <w:top w:val="nil"/>
              <w:left w:val="nil"/>
              <w:bottom w:val="single" w:sz="4" w:space="0" w:color="auto"/>
              <w:right w:val="single" w:sz="4" w:space="0" w:color="auto"/>
            </w:tcBorders>
            <w:noWrap/>
            <w:vAlign w:val="center"/>
          </w:tcPr>
          <w:p w14:paraId="6102B9AF" w14:textId="77777777" w:rsidR="0071384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409A6569"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7E314A21"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365天</w:t>
            </w:r>
          </w:p>
        </w:tc>
        <w:tc>
          <w:tcPr>
            <w:tcW w:w="720" w:type="dxa"/>
            <w:tcBorders>
              <w:top w:val="nil"/>
              <w:left w:val="nil"/>
              <w:bottom w:val="single" w:sz="4" w:space="0" w:color="auto"/>
              <w:right w:val="single" w:sz="4" w:space="0" w:color="auto"/>
            </w:tcBorders>
            <w:noWrap/>
            <w:vAlign w:val="center"/>
          </w:tcPr>
          <w:p w14:paraId="43F5BDCA"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r w:rsidR="00713849" w14:paraId="56A1B877" w14:textId="77777777">
        <w:trPr>
          <w:cantSplit/>
          <w:trHeight w:val="740"/>
        </w:trPr>
        <w:tc>
          <w:tcPr>
            <w:tcW w:w="993" w:type="dxa"/>
            <w:vMerge/>
            <w:tcBorders>
              <w:top w:val="nil"/>
              <w:left w:val="single" w:sz="4" w:space="0" w:color="auto"/>
              <w:bottom w:val="nil"/>
              <w:right w:val="single" w:sz="4" w:space="0" w:color="auto"/>
            </w:tcBorders>
            <w:vAlign w:val="center"/>
          </w:tcPr>
          <w:p w14:paraId="28D1A70A" w14:textId="77777777" w:rsidR="00713849" w:rsidRDefault="00713849">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0E01FBEF" w14:textId="77777777" w:rsidR="00713849" w:rsidRDefault="0071384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D2AB65E"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宏观观测点个数</w:t>
            </w:r>
          </w:p>
        </w:tc>
        <w:tc>
          <w:tcPr>
            <w:tcW w:w="1242" w:type="dxa"/>
            <w:tcBorders>
              <w:top w:val="nil"/>
              <w:left w:val="nil"/>
              <w:bottom w:val="single" w:sz="4" w:space="0" w:color="auto"/>
              <w:right w:val="single" w:sz="4" w:space="0" w:color="auto"/>
            </w:tcBorders>
            <w:noWrap/>
            <w:vAlign w:val="center"/>
          </w:tcPr>
          <w:p w14:paraId="6AA33D57"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&gt;=5个</w:t>
            </w:r>
          </w:p>
        </w:tc>
        <w:tc>
          <w:tcPr>
            <w:tcW w:w="1417" w:type="dxa"/>
            <w:tcBorders>
              <w:top w:val="nil"/>
              <w:left w:val="nil"/>
              <w:bottom w:val="single" w:sz="4" w:space="0" w:color="auto"/>
              <w:right w:val="single" w:sz="4" w:space="0" w:color="auto"/>
            </w:tcBorders>
            <w:noWrap/>
            <w:vAlign w:val="center"/>
          </w:tcPr>
          <w:p w14:paraId="137522ED" w14:textId="77777777" w:rsidR="0071384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0FC99C4B"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47D9395"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5个</w:t>
            </w:r>
          </w:p>
        </w:tc>
        <w:tc>
          <w:tcPr>
            <w:tcW w:w="720" w:type="dxa"/>
            <w:tcBorders>
              <w:top w:val="nil"/>
              <w:left w:val="nil"/>
              <w:bottom w:val="single" w:sz="4" w:space="0" w:color="auto"/>
              <w:right w:val="single" w:sz="4" w:space="0" w:color="auto"/>
            </w:tcBorders>
            <w:noWrap/>
            <w:vAlign w:val="center"/>
          </w:tcPr>
          <w:p w14:paraId="209386A9"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r w:rsidR="00713849" w14:paraId="400792A2" w14:textId="77777777">
        <w:trPr>
          <w:cantSplit/>
          <w:trHeight w:val="740"/>
        </w:trPr>
        <w:tc>
          <w:tcPr>
            <w:tcW w:w="993" w:type="dxa"/>
            <w:vMerge/>
            <w:tcBorders>
              <w:top w:val="nil"/>
              <w:left w:val="single" w:sz="4" w:space="0" w:color="auto"/>
              <w:bottom w:val="nil"/>
              <w:right w:val="single" w:sz="4" w:space="0" w:color="auto"/>
            </w:tcBorders>
            <w:vAlign w:val="center"/>
          </w:tcPr>
          <w:p w14:paraId="152E9A7B" w14:textId="77777777" w:rsidR="00713849" w:rsidRDefault="00713849">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37E90DB7" w14:textId="77777777" w:rsidR="00713849" w:rsidRDefault="0071384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2C005B1"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防震减灾宣传次数</w:t>
            </w:r>
          </w:p>
        </w:tc>
        <w:tc>
          <w:tcPr>
            <w:tcW w:w="1242" w:type="dxa"/>
            <w:tcBorders>
              <w:top w:val="nil"/>
              <w:left w:val="nil"/>
              <w:bottom w:val="single" w:sz="4" w:space="0" w:color="auto"/>
              <w:right w:val="single" w:sz="4" w:space="0" w:color="auto"/>
            </w:tcBorders>
            <w:noWrap/>
            <w:vAlign w:val="center"/>
          </w:tcPr>
          <w:p w14:paraId="1BA71379"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&gt;=2次</w:t>
            </w:r>
          </w:p>
        </w:tc>
        <w:tc>
          <w:tcPr>
            <w:tcW w:w="1417" w:type="dxa"/>
            <w:tcBorders>
              <w:top w:val="nil"/>
              <w:left w:val="nil"/>
              <w:bottom w:val="single" w:sz="4" w:space="0" w:color="auto"/>
              <w:right w:val="single" w:sz="4" w:space="0" w:color="auto"/>
            </w:tcBorders>
            <w:noWrap/>
            <w:vAlign w:val="center"/>
          </w:tcPr>
          <w:p w14:paraId="73A2B6F6" w14:textId="77777777" w:rsidR="0071384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44520071"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18E7B94F"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0CBCBF67"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713849" w14:paraId="613886BE" w14:textId="77777777">
        <w:trPr>
          <w:cantSplit/>
          <w:trHeight w:val="740"/>
        </w:trPr>
        <w:tc>
          <w:tcPr>
            <w:tcW w:w="993" w:type="dxa"/>
            <w:vMerge/>
            <w:tcBorders>
              <w:top w:val="nil"/>
              <w:left w:val="single" w:sz="4" w:space="0" w:color="auto"/>
              <w:bottom w:val="nil"/>
              <w:right w:val="single" w:sz="4" w:space="0" w:color="auto"/>
            </w:tcBorders>
            <w:vAlign w:val="center"/>
          </w:tcPr>
          <w:p w14:paraId="7D911DE0" w14:textId="77777777" w:rsidR="00713849" w:rsidRDefault="00713849">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43341016" w14:textId="77777777" w:rsidR="00713849" w:rsidRDefault="0071384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F5A039E"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宏观观测员培训次数</w:t>
            </w:r>
          </w:p>
        </w:tc>
        <w:tc>
          <w:tcPr>
            <w:tcW w:w="1242" w:type="dxa"/>
            <w:tcBorders>
              <w:top w:val="nil"/>
              <w:left w:val="nil"/>
              <w:bottom w:val="single" w:sz="4" w:space="0" w:color="auto"/>
              <w:right w:val="single" w:sz="4" w:space="0" w:color="auto"/>
            </w:tcBorders>
            <w:noWrap/>
            <w:vAlign w:val="center"/>
          </w:tcPr>
          <w:p w14:paraId="7B49A640"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&gt;=2次</w:t>
            </w:r>
          </w:p>
        </w:tc>
        <w:tc>
          <w:tcPr>
            <w:tcW w:w="1417" w:type="dxa"/>
            <w:tcBorders>
              <w:top w:val="nil"/>
              <w:left w:val="nil"/>
              <w:bottom w:val="single" w:sz="4" w:space="0" w:color="auto"/>
              <w:right w:val="single" w:sz="4" w:space="0" w:color="auto"/>
            </w:tcBorders>
            <w:noWrap/>
            <w:vAlign w:val="center"/>
          </w:tcPr>
          <w:p w14:paraId="537BEDFE" w14:textId="77777777" w:rsidR="0071384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54661625"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6B6C605B"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37B977DF" w14:textId="77777777" w:rsidR="0071384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bl>
    <w:p w14:paraId="509613F8" w14:textId="77777777" w:rsidR="00713849"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888EEFB" w14:textId="77777777" w:rsidR="00713849"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76"/>
        <w:gridCol w:w="522"/>
        <w:gridCol w:w="549"/>
        <w:gridCol w:w="896"/>
      </w:tblGrid>
      <w:tr w:rsidR="00713849" w14:paraId="217A7538"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844DD84"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bookmarkStart w:id="20" w:name="_Hlk201837198"/>
            <w:bookmarkEnd w:id="20"/>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4F2CB9E"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木垒县“三网一员”宏观观测补助项目</w:t>
            </w:r>
          </w:p>
        </w:tc>
      </w:tr>
      <w:tr w:rsidR="00713849" w14:paraId="1DDE2856"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1EFB2E4"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13AED4F5"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木垒哈萨克自治县地震台</w:t>
            </w:r>
          </w:p>
        </w:tc>
        <w:tc>
          <w:tcPr>
            <w:tcW w:w="708" w:type="pct"/>
            <w:gridSpan w:val="2"/>
            <w:tcBorders>
              <w:top w:val="single" w:sz="4" w:space="0" w:color="auto"/>
              <w:left w:val="nil"/>
              <w:bottom w:val="single" w:sz="4" w:space="0" w:color="auto"/>
              <w:right w:val="single" w:sz="4" w:space="0" w:color="auto"/>
            </w:tcBorders>
            <w:vAlign w:val="center"/>
          </w:tcPr>
          <w:p w14:paraId="352C85DC"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08180E02"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木垒哈萨克自治县地震台</w:t>
            </w:r>
          </w:p>
        </w:tc>
      </w:tr>
      <w:tr w:rsidR="00713849" w14:paraId="30D6174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EBE3B43"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12F4793F" w14:textId="77777777" w:rsidR="00713849" w:rsidRDefault="00713849">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47DC1BC3"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221D251"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68E5C65"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5E7B68E7"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F745A6F"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DBE191B"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13849" w14:paraId="2DCC8E0B"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204792A7" w14:textId="77777777" w:rsidR="00713849" w:rsidRDefault="00713849">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4D1C950"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2F24E831"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0.84</w:t>
            </w:r>
          </w:p>
        </w:tc>
        <w:tc>
          <w:tcPr>
            <w:tcW w:w="982" w:type="pct"/>
            <w:gridSpan w:val="3"/>
            <w:tcBorders>
              <w:top w:val="single" w:sz="4" w:space="0" w:color="auto"/>
              <w:left w:val="nil"/>
              <w:bottom w:val="single" w:sz="4" w:space="0" w:color="auto"/>
              <w:right w:val="single" w:sz="4" w:space="0" w:color="auto"/>
            </w:tcBorders>
            <w:vAlign w:val="center"/>
          </w:tcPr>
          <w:p w14:paraId="35EC6975"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0.84</w:t>
            </w:r>
          </w:p>
        </w:tc>
        <w:tc>
          <w:tcPr>
            <w:tcW w:w="708" w:type="pct"/>
            <w:gridSpan w:val="2"/>
            <w:tcBorders>
              <w:top w:val="single" w:sz="4" w:space="0" w:color="auto"/>
              <w:left w:val="nil"/>
              <w:bottom w:val="single" w:sz="4" w:space="0" w:color="auto"/>
              <w:right w:val="single" w:sz="4" w:space="0" w:color="auto"/>
            </w:tcBorders>
            <w:vAlign w:val="center"/>
          </w:tcPr>
          <w:p w14:paraId="4996762F"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0.84</w:t>
            </w:r>
          </w:p>
        </w:tc>
        <w:tc>
          <w:tcPr>
            <w:tcW w:w="671" w:type="pct"/>
            <w:gridSpan w:val="2"/>
            <w:tcBorders>
              <w:top w:val="nil"/>
              <w:left w:val="nil"/>
              <w:bottom w:val="single" w:sz="4" w:space="0" w:color="auto"/>
              <w:right w:val="single" w:sz="4" w:space="0" w:color="auto"/>
            </w:tcBorders>
            <w:vAlign w:val="center"/>
          </w:tcPr>
          <w:p w14:paraId="2C40CA42"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4C9C1001"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A1EE1E3"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13849" w14:paraId="3DDFA871"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1B7207E7" w14:textId="77777777" w:rsidR="00713849" w:rsidRDefault="00713849">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0A5DC79"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607C03B"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0.84</w:t>
            </w:r>
          </w:p>
        </w:tc>
        <w:tc>
          <w:tcPr>
            <w:tcW w:w="982" w:type="pct"/>
            <w:gridSpan w:val="3"/>
            <w:tcBorders>
              <w:top w:val="single" w:sz="4" w:space="0" w:color="auto"/>
              <w:left w:val="nil"/>
              <w:bottom w:val="single" w:sz="4" w:space="0" w:color="auto"/>
              <w:right w:val="single" w:sz="4" w:space="0" w:color="auto"/>
            </w:tcBorders>
            <w:vAlign w:val="center"/>
          </w:tcPr>
          <w:p w14:paraId="22669312"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0.84</w:t>
            </w:r>
          </w:p>
        </w:tc>
        <w:tc>
          <w:tcPr>
            <w:tcW w:w="708" w:type="pct"/>
            <w:gridSpan w:val="2"/>
            <w:tcBorders>
              <w:top w:val="single" w:sz="4" w:space="0" w:color="auto"/>
              <w:left w:val="nil"/>
              <w:bottom w:val="single" w:sz="4" w:space="0" w:color="auto"/>
              <w:right w:val="single" w:sz="4" w:space="0" w:color="auto"/>
            </w:tcBorders>
            <w:vAlign w:val="center"/>
          </w:tcPr>
          <w:p w14:paraId="5424CD50"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0.84</w:t>
            </w:r>
          </w:p>
        </w:tc>
        <w:tc>
          <w:tcPr>
            <w:tcW w:w="671" w:type="pct"/>
            <w:gridSpan w:val="2"/>
            <w:tcBorders>
              <w:top w:val="nil"/>
              <w:left w:val="nil"/>
              <w:bottom w:val="single" w:sz="4" w:space="0" w:color="auto"/>
              <w:right w:val="single" w:sz="4" w:space="0" w:color="auto"/>
            </w:tcBorders>
            <w:vAlign w:val="center"/>
          </w:tcPr>
          <w:p w14:paraId="22E5639C"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52B2093"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28D9D7D"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13849" w14:paraId="0C262062" w14:textId="77777777">
        <w:trPr>
          <w:trHeight w:val="380"/>
        </w:trPr>
        <w:tc>
          <w:tcPr>
            <w:tcW w:w="0" w:type="auto"/>
            <w:vMerge/>
            <w:tcBorders>
              <w:top w:val="nil"/>
              <w:left w:val="single" w:sz="4" w:space="0" w:color="auto"/>
              <w:bottom w:val="single" w:sz="4" w:space="0" w:color="auto"/>
              <w:right w:val="single" w:sz="4" w:space="0" w:color="auto"/>
            </w:tcBorders>
            <w:vAlign w:val="center"/>
          </w:tcPr>
          <w:p w14:paraId="484DBD69" w14:textId="77777777" w:rsidR="00713849" w:rsidRDefault="00713849">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9682E1F"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CBE5851"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0D4EFB56"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2A0CD8E7"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49E9D468"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2A86865B"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5DD0C1B"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13849" w14:paraId="08C4296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DB50866"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50FFEC2"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21AD19D1"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13849" w14:paraId="05158F97" w14:textId="77777777">
        <w:trPr>
          <w:trHeight w:val="820"/>
        </w:trPr>
        <w:tc>
          <w:tcPr>
            <w:tcW w:w="0" w:type="auto"/>
            <w:vMerge/>
            <w:tcBorders>
              <w:top w:val="nil"/>
              <w:left w:val="single" w:sz="4" w:space="0" w:color="auto"/>
              <w:bottom w:val="single" w:sz="4" w:space="0" w:color="auto"/>
              <w:right w:val="single" w:sz="4" w:space="0" w:color="auto"/>
            </w:tcBorders>
            <w:vAlign w:val="center"/>
          </w:tcPr>
          <w:p w14:paraId="68749939" w14:textId="77777777" w:rsidR="00713849" w:rsidRDefault="00713849">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5C270CE0"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探索研究地震与动物及自然现象异常之间存在的关联关系，自治区建立观测观测点300多个，并设立专门补助资金推动此项工作的开展。木垒县地震局建立宏观观测点5个，计划开展“三网一员”宏观观测工作，向三网一员观测员发放观测补助0.84万元</w:t>
            </w:r>
          </w:p>
        </w:tc>
        <w:tc>
          <w:tcPr>
            <w:tcW w:w="2559" w:type="pct"/>
            <w:gridSpan w:val="7"/>
            <w:tcBorders>
              <w:top w:val="single" w:sz="4" w:space="0" w:color="auto"/>
              <w:left w:val="nil"/>
              <w:bottom w:val="single" w:sz="4" w:space="0" w:color="auto"/>
              <w:right w:val="single" w:sz="4" w:space="0" w:color="auto"/>
            </w:tcBorders>
            <w:vAlign w:val="center"/>
          </w:tcPr>
          <w:p w14:paraId="6125E02A"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了自治区建立观测观测点300多个，发放补助观测人员数量5个；通过该项目的实施，提升了灾害应对能力，降低了地震带来的损失，提升了全社会仿真减灾意识，保障了社会秩序稳定。</w:t>
            </w:r>
          </w:p>
        </w:tc>
      </w:tr>
      <w:tr w:rsidR="00713849" w14:paraId="340C1010" w14:textId="77777777">
        <w:trPr>
          <w:trHeight w:val="820"/>
        </w:trPr>
        <w:tc>
          <w:tcPr>
            <w:tcW w:w="328" w:type="pct"/>
            <w:tcBorders>
              <w:top w:val="nil"/>
              <w:left w:val="single" w:sz="4" w:space="0" w:color="auto"/>
              <w:bottom w:val="single" w:sz="4" w:space="0" w:color="auto"/>
              <w:right w:val="single" w:sz="4" w:space="0" w:color="auto"/>
            </w:tcBorders>
            <w:vAlign w:val="center"/>
          </w:tcPr>
          <w:p w14:paraId="27324FA6"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266B32"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CEB3979"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1708CEC5"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47F12020"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086A4D2F"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711FCA94"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6BAB8D0B"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2F4ED3D0"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E208CEE"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41CB7368"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5173AD1"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57383C31"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369FC98"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13849" w14:paraId="235E0551" w14:textId="77777777">
        <w:trPr>
          <w:trHeight w:val="800"/>
        </w:trPr>
        <w:tc>
          <w:tcPr>
            <w:tcW w:w="328" w:type="pct"/>
            <w:vMerge w:val="restart"/>
            <w:tcBorders>
              <w:top w:val="nil"/>
              <w:left w:val="single" w:sz="4" w:space="0" w:color="auto"/>
              <w:bottom w:val="nil"/>
              <w:right w:val="single" w:sz="4" w:space="0" w:color="auto"/>
            </w:tcBorders>
            <w:vAlign w:val="center"/>
          </w:tcPr>
          <w:p w14:paraId="4DD0FC2B"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6566ECF6"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389D966C"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0A08D25" w14:textId="77777777" w:rsidR="0071384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发放补助观测人员数量</w:t>
            </w:r>
          </w:p>
        </w:tc>
        <w:tc>
          <w:tcPr>
            <w:tcW w:w="334" w:type="pct"/>
            <w:tcBorders>
              <w:top w:val="nil"/>
              <w:left w:val="nil"/>
              <w:bottom w:val="single" w:sz="4" w:space="0" w:color="auto"/>
              <w:right w:val="single" w:sz="4" w:space="0" w:color="auto"/>
            </w:tcBorders>
            <w:vAlign w:val="center"/>
          </w:tcPr>
          <w:p w14:paraId="7A538B18"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20C22EF"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&gt;=5人</w:t>
            </w:r>
          </w:p>
        </w:tc>
        <w:tc>
          <w:tcPr>
            <w:tcW w:w="333" w:type="pct"/>
            <w:tcBorders>
              <w:top w:val="nil"/>
              <w:left w:val="nil"/>
              <w:bottom w:val="single" w:sz="4" w:space="0" w:color="auto"/>
              <w:right w:val="single" w:sz="4" w:space="0" w:color="auto"/>
            </w:tcBorders>
            <w:vAlign w:val="center"/>
          </w:tcPr>
          <w:p w14:paraId="56A5178B"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=5人</w:t>
            </w:r>
          </w:p>
        </w:tc>
        <w:tc>
          <w:tcPr>
            <w:tcW w:w="328" w:type="pct"/>
            <w:tcBorders>
              <w:top w:val="nil"/>
              <w:left w:val="nil"/>
              <w:bottom w:val="single" w:sz="4" w:space="0" w:color="auto"/>
              <w:right w:val="single" w:sz="4" w:space="0" w:color="auto"/>
            </w:tcBorders>
            <w:vAlign w:val="center"/>
          </w:tcPr>
          <w:p w14:paraId="16851EEB"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BFFD4AC"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08E7FE8"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5CDD4AE"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5人</w:t>
            </w:r>
          </w:p>
        </w:tc>
        <w:tc>
          <w:tcPr>
            <w:tcW w:w="327" w:type="pct"/>
            <w:tcBorders>
              <w:top w:val="nil"/>
              <w:left w:val="nil"/>
              <w:bottom w:val="single" w:sz="4" w:space="0" w:color="auto"/>
              <w:right w:val="single" w:sz="4" w:space="0" w:color="auto"/>
            </w:tcBorders>
            <w:vAlign w:val="center"/>
          </w:tcPr>
          <w:p w14:paraId="6464D22D"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AE006AE"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F6CFE21" w14:textId="77777777" w:rsidR="00713849" w:rsidRDefault="00713849">
            <w:pPr>
              <w:spacing w:after="0" w:line="240" w:lineRule="auto"/>
              <w:jc w:val="center"/>
              <w:rPr>
                <w:rFonts w:ascii="宋体" w:eastAsia="宋体" w:hAnsi="宋体" w:cs="Times New Roman" w:hint="eastAsia"/>
                <w:color w:val="000000"/>
                <w:sz w:val="18"/>
                <w:szCs w:val="18"/>
                <w:lang w:eastAsia="zh-CN"/>
              </w:rPr>
            </w:pPr>
          </w:p>
        </w:tc>
      </w:tr>
      <w:tr w:rsidR="00713849" w14:paraId="62EEB7EE" w14:textId="77777777">
        <w:trPr>
          <w:trHeight w:val="800"/>
        </w:trPr>
        <w:tc>
          <w:tcPr>
            <w:tcW w:w="0" w:type="auto"/>
            <w:vMerge/>
            <w:tcBorders>
              <w:top w:val="nil"/>
              <w:left w:val="single" w:sz="4" w:space="0" w:color="auto"/>
              <w:bottom w:val="nil"/>
              <w:right w:val="single" w:sz="4" w:space="0" w:color="auto"/>
            </w:tcBorders>
            <w:vAlign w:val="center"/>
          </w:tcPr>
          <w:p w14:paraId="68FEB948"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F16FC97"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FE4E2E0"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AE0AA28" w14:textId="77777777" w:rsidR="00713849"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建立宏观观测点个数</w:t>
            </w:r>
          </w:p>
        </w:tc>
        <w:tc>
          <w:tcPr>
            <w:tcW w:w="334" w:type="pct"/>
            <w:tcBorders>
              <w:top w:val="nil"/>
              <w:left w:val="nil"/>
              <w:bottom w:val="single" w:sz="4" w:space="0" w:color="auto"/>
              <w:right w:val="single" w:sz="4" w:space="0" w:color="auto"/>
            </w:tcBorders>
            <w:vAlign w:val="center"/>
          </w:tcPr>
          <w:p w14:paraId="67EC80E4"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719AC27"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&gt;=5个</w:t>
            </w:r>
          </w:p>
        </w:tc>
        <w:tc>
          <w:tcPr>
            <w:tcW w:w="333" w:type="pct"/>
            <w:tcBorders>
              <w:top w:val="nil"/>
              <w:left w:val="nil"/>
              <w:bottom w:val="single" w:sz="4" w:space="0" w:color="auto"/>
              <w:right w:val="single" w:sz="4" w:space="0" w:color="auto"/>
            </w:tcBorders>
            <w:vAlign w:val="center"/>
          </w:tcPr>
          <w:p w14:paraId="2EEE41A4"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=5个</w:t>
            </w:r>
          </w:p>
        </w:tc>
        <w:tc>
          <w:tcPr>
            <w:tcW w:w="328" w:type="pct"/>
            <w:tcBorders>
              <w:top w:val="nil"/>
              <w:left w:val="nil"/>
              <w:bottom w:val="single" w:sz="4" w:space="0" w:color="auto"/>
              <w:right w:val="single" w:sz="4" w:space="0" w:color="auto"/>
            </w:tcBorders>
            <w:vAlign w:val="center"/>
          </w:tcPr>
          <w:p w14:paraId="0558F298"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05F65AB"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6CC30A8"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2736737"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204B55B7"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52411D2"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3CC6294" w14:textId="77777777" w:rsidR="00713849" w:rsidRDefault="00713849">
            <w:pPr>
              <w:spacing w:after="0" w:line="240" w:lineRule="auto"/>
              <w:jc w:val="center"/>
              <w:rPr>
                <w:rFonts w:ascii="宋体" w:eastAsia="宋体" w:hAnsi="宋体" w:cs="Times New Roman" w:hint="eastAsia"/>
                <w:color w:val="000000"/>
                <w:sz w:val="18"/>
                <w:szCs w:val="18"/>
                <w:lang w:eastAsia="zh-CN"/>
              </w:rPr>
            </w:pPr>
          </w:p>
        </w:tc>
      </w:tr>
      <w:tr w:rsidR="00713849" w14:paraId="44697E78" w14:textId="77777777">
        <w:trPr>
          <w:trHeight w:val="800"/>
        </w:trPr>
        <w:tc>
          <w:tcPr>
            <w:tcW w:w="0" w:type="auto"/>
            <w:vMerge/>
            <w:tcBorders>
              <w:top w:val="nil"/>
              <w:left w:val="single" w:sz="4" w:space="0" w:color="auto"/>
              <w:bottom w:val="nil"/>
              <w:right w:val="single" w:sz="4" w:space="0" w:color="auto"/>
            </w:tcBorders>
            <w:vAlign w:val="center"/>
          </w:tcPr>
          <w:p w14:paraId="7B132270"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81D21FE"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0ADD822"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28492F13" w14:textId="77777777" w:rsidR="00713849"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观测点数据上报率</w:t>
            </w:r>
          </w:p>
        </w:tc>
        <w:tc>
          <w:tcPr>
            <w:tcW w:w="334" w:type="pct"/>
            <w:tcBorders>
              <w:top w:val="nil"/>
              <w:left w:val="nil"/>
              <w:bottom w:val="single" w:sz="4" w:space="0" w:color="auto"/>
              <w:right w:val="single" w:sz="4" w:space="0" w:color="auto"/>
            </w:tcBorders>
            <w:vAlign w:val="center"/>
          </w:tcPr>
          <w:p w14:paraId="1A9FB184"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7B69CA1D"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47BA2BA"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61E6FE5"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8B7721E"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40A1BF24"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82EA48B"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506B2184"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8F1A78F"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9B5F44A" w14:textId="77777777" w:rsidR="00713849" w:rsidRDefault="00713849">
            <w:pPr>
              <w:spacing w:after="0" w:line="240" w:lineRule="auto"/>
              <w:jc w:val="center"/>
              <w:rPr>
                <w:rFonts w:ascii="宋体" w:eastAsia="宋体" w:hAnsi="宋体" w:cs="Times New Roman" w:hint="eastAsia"/>
                <w:color w:val="000000"/>
                <w:sz w:val="18"/>
                <w:szCs w:val="18"/>
                <w:lang w:eastAsia="zh-CN"/>
              </w:rPr>
            </w:pPr>
          </w:p>
        </w:tc>
      </w:tr>
      <w:tr w:rsidR="00713849" w14:paraId="063A290A" w14:textId="77777777">
        <w:trPr>
          <w:trHeight w:val="800"/>
        </w:trPr>
        <w:tc>
          <w:tcPr>
            <w:tcW w:w="0" w:type="auto"/>
            <w:vMerge/>
            <w:tcBorders>
              <w:top w:val="nil"/>
              <w:left w:val="single" w:sz="4" w:space="0" w:color="auto"/>
              <w:bottom w:val="nil"/>
              <w:right w:val="single" w:sz="4" w:space="0" w:color="auto"/>
            </w:tcBorders>
            <w:vAlign w:val="center"/>
          </w:tcPr>
          <w:p w14:paraId="1E25954B"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2DD0D9A"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55F9EFF"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0634C25" w14:textId="77777777" w:rsidR="00713849"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观测员培训合格率</w:t>
            </w:r>
          </w:p>
        </w:tc>
        <w:tc>
          <w:tcPr>
            <w:tcW w:w="334" w:type="pct"/>
            <w:tcBorders>
              <w:top w:val="nil"/>
              <w:left w:val="nil"/>
              <w:bottom w:val="single" w:sz="4" w:space="0" w:color="auto"/>
              <w:right w:val="single" w:sz="4" w:space="0" w:color="auto"/>
            </w:tcBorders>
            <w:vAlign w:val="center"/>
          </w:tcPr>
          <w:p w14:paraId="4C6CE110"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0802F071"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3CED96B"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177CAD1"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BAC91F6"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366862A2"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D9CB9A4"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608AABC8"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2ED0461"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9CDC639" w14:textId="77777777" w:rsidR="00713849" w:rsidRDefault="00713849">
            <w:pPr>
              <w:spacing w:after="0" w:line="240" w:lineRule="auto"/>
              <w:jc w:val="center"/>
              <w:rPr>
                <w:rFonts w:ascii="宋体" w:eastAsia="宋体" w:hAnsi="宋体" w:cs="Times New Roman" w:hint="eastAsia"/>
                <w:color w:val="000000"/>
                <w:sz w:val="18"/>
                <w:szCs w:val="18"/>
                <w:lang w:eastAsia="zh-CN"/>
              </w:rPr>
            </w:pPr>
          </w:p>
        </w:tc>
      </w:tr>
      <w:tr w:rsidR="00713849" w14:paraId="1DE46E67" w14:textId="77777777">
        <w:trPr>
          <w:trHeight w:val="800"/>
        </w:trPr>
        <w:tc>
          <w:tcPr>
            <w:tcW w:w="0" w:type="auto"/>
            <w:vMerge/>
            <w:tcBorders>
              <w:top w:val="nil"/>
              <w:left w:val="single" w:sz="4" w:space="0" w:color="auto"/>
              <w:bottom w:val="nil"/>
              <w:right w:val="single" w:sz="4" w:space="0" w:color="auto"/>
            </w:tcBorders>
            <w:vAlign w:val="center"/>
          </w:tcPr>
          <w:p w14:paraId="00451E2F"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6A3915E"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C0CA800"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0C9602F6" w14:textId="77777777" w:rsidR="0071384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观测数据上报时间</w:t>
            </w:r>
          </w:p>
        </w:tc>
        <w:tc>
          <w:tcPr>
            <w:tcW w:w="334" w:type="pct"/>
            <w:tcBorders>
              <w:top w:val="nil"/>
              <w:left w:val="nil"/>
              <w:bottom w:val="single" w:sz="4" w:space="0" w:color="auto"/>
              <w:right w:val="single" w:sz="4" w:space="0" w:color="auto"/>
            </w:tcBorders>
            <w:vAlign w:val="center"/>
          </w:tcPr>
          <w:p w14:paraId="71FC4DB0"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773D4D39"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每月30日前</w:t>
            </w:r>
          </w:p>
        </w:tc>
        <w:tc>
          <w:tcPr>
            <w:tcW w:w="333" w:type="pct"/>
            <w:tcBorders>
              <w:top w:val="nil"/>
              <w:left w:val="nil"/>
              <w:bottom w:val="single" w:sz="4" w:space="0" w:color="auto"/>
              <w:right w:val="single" w:sz="4" w:space="0" w:color="auto"/>
            </w:tcBorders>
            <w:vAlign w:val="center"/>
          </w:tcPr>
          <w:p w14:paraId="05C88051"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每月30日上报</w:t>
            </w:r>
          </w:p>
        </w:tc>
        <w:tc>
          <w:tcPr>
            <w:tcW w:w="328" w:type="pct"/>
            <w:tcBorders>
              <w:top w:val="nil"/>
              <w:left w:val="nil"/>
              <w:bottom w:val="single" w:sz="4" w:space="0" w:color="auto"/>
              <w:right w:val="single" w:sz="4" w:space="0" w:color="auto"/>
            </w:tcBorders>
            <w:vAlign w:val="center"/>
          </w:tcPr>
          <w:p w14:paraId="77EF5999"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44D28EF"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0F283776"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4E46D28"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第月30日前</w:t>
            </w:r>
          </w:p>
        </w:tc>
        <w:tc>
          <w:tcPr>
            <w:tcW w:w="327" w:type="pct"/>
            <w:tcBorders>
              <w:top w:val="nil"/>
              <w:left w:val="nil"/>
              <w:bottom w:val="single" w:sz="4" w:space="0" w:color="auto"/>
              <w:right w:val="single" w:sz="4" w:space="0" w:color="auto"/>
            </w:tcBorders>
            <w:vAlign w:val="center"/>
          </w:tcPr>
          <w:p w14:paraId="1A3C4F5B"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6BD15E6"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EFDE91A" w14:textId="77777777" w:rsidR="00713849" w:rsidRDefault="00713849">
            <w:pPr>
              <w:spacing w:after="0" w:line="240" w:lineRule="auto"/>
              <w:jc w:val="center"/>
              <w:rPr>
                <w:rFonts w:ascii="宋体" w:eastAsia="宋体" w:hAnsi="宋体" w:cs="Times New Roman" w:hint="eastAsia"/>
                <w:color w:val="000000"/>
                <w:sz w:val="18"/>
                <w:szCs w:val="18"/>
                <w:lang w:eastAsia="zh-CN"/>
              </w:rPr>
            </w:pPr>
          </w:p>
        </w:tc>
      </w:tr>
      <w:tr w:rsidR="00713849" w14:paraId="375CDFDC" w14:textId="77777777">
        <w:trPr>
          <w:trHeight w:val="800"/>
        </w:trPr>
        <w:tc>
          <w:tcPr>
            <w:tcW w:w="0" w:type="auto"/>
            <w:vMerge/>
            <w:tcBorders>
              <w:top w:val="nil"/>
              <w:left w:val="single" w:sz="4" w:space="0" w:color="auto"/>
              <w:bottom w:val="nil"/>
              <w:right w:val="single" w:sz="4" w:space="0" w:color="auto"/>
            </w:tcBorders>
            <w:vAlign w:val="center"/>
          </w:tcPr>
          <w:p w14:paraId="5F6C24E1"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2CFC62C"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7F2582F"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72DC083" w14:textId="77777777" w:rsidR="0071384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观测数年上报及时率</w:t>
            </w:r>
          </w:p>
        </w:tc>
        <w:tc>
          <w:tcPr>
            <w:tcW w:w="334" w:type="pct"/>
            <w:tcBorders>
              <w:top w:val="nil"/>
              <w:left w:val="nil"/>
              <w:bottom w:val="single" w:sz="4" w:space="0" w:color="auto"/>
              <w:right w:val="single" w:sz="4" w:space="0" w:color="auto"/>
            </w:tcBorders>
            <w:vAlign w:val="center"/>
          </w:tcPr>
          <w:p w14:paraId="313F5FB2"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6746FE1D"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98F7F32"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10F60C8"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600944D"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1F4617EE"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F10CF1D"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22E67A95"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EF960F2"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009144F" w14:textId="77777777" w:rsidR="00713849" w:rsidRDefault="00713849">
            <w:pPr>
              <w:spacing w:after="0" w:line="240" w:lineRule="auto"/>
              <w:jc w:val="center"/>
              <w:rPr>
                <w:rFonts w:ascii="宋体" w:eastAsia="宋体" w:hAnsi="宋体" w:cs="Times New Roman" w:hint="eastAsia"/>
                <w:color w:val="000000"/>
                <w:sz w:val="18"/>
                <w:szCs w:val="18"/>
                <w:lang w:eastAsia="zh-CN"/>
              </w:rPr>
            </w:pPr>
          </w:p>
        </w:tc>
      </w:tr>
      <w:tr w:rsidR="00713849" w14:paraId="2D3B260C" w14:textId="77777777">
        <w:trPr>
          <w:trHeight w:val="800"/>
        </w:trPr>
        <w:tc>
          <w:tcPr>
            <w:tcW w:w="0" w:type="auto"/>
            <w:vMerge/>
            <w:tcBorders>
              <w:top w:val="nil"/>
              <w:left w:val="single" w:sz="4" w:space="0" w:color="auto"/>
              <w:bottom w:val="nil"/>
              <w:right w:val="single" w:sz="4" w:space="0" w:color="auto"/>
            </w:tcBorders>
            <w:vAlign w:val="center"/>
          </w:tcPr>
          <w:p w14:paraId="0104C781"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F664567"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01815A56"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5A735305" w14:textId="77777777" w:rsidR="0071384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预算成本控制率</w:t>
            </w:r>
          </w:p>
        </w:tc>
        <w:tc>
          <w:tcPr>
            <w:tcW w:w="334" w:type="pct"/>
            <w:tcBorders>
              <w:top w:val="nil"/>
              <w:left w:val="nil"/>
              <w:bottom w:val="single" w:sz="4" w:space="0" w:color="auto"/>
              <w:right w:val="single" w:sz="4" w:space="0" w:color="auto"/>
            </w:tcBorders>
            <w:vAlign w:val="center"/>
          </w:tcPr>
          <w:p w14:paraId="1544CABD"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B2268D0"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421BB739"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C50E05F"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5BC6E1D"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8D8FA98"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27126B91"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08B5650F"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1F29996"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2FADE9E" w14:textId="77777777" w:rsidR="00713849" w:rsidRDefault="00713849">
            <w:pPr>
              <w:spacing w:after="0" w:line="240" w:lineRule="auto"/>
              <w:jc w:val="center"/>
              <w:rPr>
                <w:rFonts w:ascii="宋体" w:eastAsia="宋体" w:hAnsi="宋体" w:cs="Times New Roman" w:hint="eastAsia"/>
                <w:color w:val="000000"/>
                <w:sz w:val="18"/>
                <w:szCs w:val="18"/>
                <w:lang w:eastAsia="zh-CN"/>
              </w:rPr>
            </w:pPr>
          </w:p>
        </w:tc>
      </w:tr>
      <w:tr w:rsidR="00713849" w14:paraId="32697D7A" w14:textId="77777777">
        <w:trPr>
          <w:trHeight w:val="800"/>
        </w:trPr>
        <w:tc>
          <w:tcPr>
            <w:tcW w:w="0" w:type="auto"/>
            <w:vMerge/>
            <w:tcBorders>
              <w:top w:val="nil"/>
              <w:left w:val="single" w:sz="4" w:space="0" w:color="auto"/>
              <w:bottom w:val="nil"/>
              <w:right w:val="single" w:sz="4" w:space="0" w:color="auto"/>
            </w:tcBorders>
            <w:vAlign w:val="center"/>
          </w:tcPr>
          <w:p w14:paraId="512F5B3F"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0CC6544"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5C55B253"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5EA70513" w14:textId="77777777" w:rsidR="0071384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灾害事故预防能力提升度（%）</w:t>
            </w:r>
          </w:p>
        </w:tc>
        <w:tc>
          <w:tcPr>
            <w:tcW w:w="334" w:type="pct"/>
            <w:tcBorders>
              <w:top w:val="nil"/>
              <w:left w:val="nil"/>
              <w:bottom w:val="single" w:sz="4" w:space="0" w:color="auto"/>
              <w:right w:val="single" w:sz="4" w:space="0" w:color="auto"/>
            </w:tcBorders>
            <w:vAlign w:val="center"/>
          </w:tcPr>
          <w:p w14:paraId="487A8B75"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314" w:type="pct"/>
            <w:tcBorders>
              <w:top w:val="nil"/>
              <w:left w:val="nil"/>
              <w:bottom w:val="single" w:sz="4" w:space="0" w:color="auto"/>
              <w:right w:val="single" w:sz="4" w:space="0" w:color="auto"/>
            </w:tcBorders>
            <w:vAlign w:val="center"/>
          </w:tcPr>
          <w:p w14:paraId="2044F461"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105FDDCC"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48CC8332"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8D1F5D2"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342" w:type="pct"/>
            <w:tcBorders>
              <w:top w:val="nil"/>
              <w:left w:val="nil"/>
              <w:bottom w:val="single" w:sz="4" w:space="0" w:color="auto"/>
              <w:right w:val="single" w:sz="4" w:space="0" w:color="auto"/>
            </w:tcBorders>
            <w:vAlign w:val="center"/>
          </w:tcPr>
          <w:p w14:paraId="59D05F44"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9E395B6"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1AF33113"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EAE6417"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342BD6C" w14:textId="77777777" w:rsidR="00713849" w:rsidRDefault="00713849">
            <w:pPr>
              <w:spacing w:after="0" w:line="240" w:lineRule="auto"/>
              <w:jc w:val="center"/>
              <w:rPr>
                <w:rFonts w:ascii="宋体" w:eastAsia="宋体" w:hAnsi="宋体" w:cs="Times New Roman" w:hint="eastAsia"/>
                <w:color w:val="000000"/>
                <w:sz w:val="18"/>
                <w:szCs w:val="18"/>
                <w:lang w:eastAsia="zh-CN"/>
              </w:rPr>
            </w:pPr>
          </w:p>
        </w:tc>
      </w:tr>
      <w:tr w:rsidR="00713849" w14:paraId="2B82929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3FF6F5E"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49601C8D" w14:textId="77777777" w:rsidR="0071384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073417EE" w14:textId="77777777" w:rsidR="00713849" w:rsidRDefault="00713849">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7486BC9B" w14:textId="77777777" w:rsidR="00713849" w:rsidRDefault="00713849">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FFE7A85" w14:textId="77777777" w:rsidR="00713849" w:rsidRDefault="00713849">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0AF3608" w14:textId="77777777" w:rsidR="0071384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2CB8922C"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3FCC5D7A"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1E2AF3B4"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0D406D2" w14:textId="77777777" w:rsidR="00713849" w:rsidRDefault="00713849">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11169C9B" w14:textId="77777777" w:rsidR="00713849" w:rsidRDefault="00713849">
            <w:pPr>
              <w:spacing w:after="0" w:line="240" w:lineRule="auto"/>
              <w:rPr>
                <w:rFonts w:ascii="宋体" w:eastAsia="宋体" w:hAnsi="宋体" w:cs="Times New Roman" w:hint="eastAsia"/>
                <w:color w:val="000000"/>
                <w:sz w:val="18"/>
                <w:szCs w:val="18"/>
                <w:lang w:eastAsia="zh-CN"/>
              </w:rPr>
            </w:pPr>
          </w:p>
        </w:tc>
      </w:tr>
    </w:tbl>
    <w:p w14:paraId="4B3E921B" w14:textId="77777777" w:rsidR="00713849" w:rsidRDefault="00713849">
      <w:pPr>
        <w:widowControl w:val="0"/>
        <w:spacing w:after="0" w:line="240" w:lineRule="auto"/>
        <w:rPr>
          <w:rFonts w:ascii="宋体" w:eastAsia="宋体" w:hAnsi="宋体" w:cs="Times New Roman" w:hint="eastAsia"/>
          <w:b/>
          <w:bCs/>
          <w:sz w:val="18"/>
          <w:szCs w:val="18"/>
          <w:lang w:eastAsia="zh-CN"/>
        </w:rPr>
      </w:pPr>
    </w:p>
    <w:p w14:paraId="3A77FB30" w14:textId="77777777" w:rsidR="00713849" w:rsidRDefault="00713849">
      <w:pPr>
        <w:widowControl w:val="0"/>
        <w:spacing w:after="0" w:line="240" w:lineRule="auto"/>
        <w:rPr>
          <w:rFonts w:ascii="宋体" w:eastAsia="宋体" w:hAnsi="宋体" w:cs="Times New Roman" w:hint="eastAsia"/>
          <w:b/>
          <w:bCs/>
          <w:sz w:val="18"/>
          <w:szCs w:val="18"/>
          <w:lang w:eastAsia="zh-CN"/>
        </w:rPr>
      </w:pPr>
    </w:p>
    <w:p w14:paraId="27EC3110" w14:textId="77777777" w:rsidR="0071384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B22F760" w14:textId="77777777" w:rsidR="0071384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7778D911" w14:textId="77777777" w:rsidR="00713849" w:rsidRDefault="00713849">
      <w:pPr>
        <w:spacing w:after="0" w:line="240" w:lineRule="auto"/>
        <w:ind w:firstLineChars="200" w:firstLine="640"/>
        <w:rPr>
          <w:rFonts w:ascii="仿宋_GB2312" w:eastAsia="仿宋_GB2312" w:hint="eastAsia"/>
          <w:sz w:val="32"/>
          <w:szCs w:val="32"/>
          <w:lang w:eastAsia="zh-CN"/>
        </w:rPr>
      </w:pPr>
    </w:p>
    <w:p w14:paraId="722C4E0B" w14:textId="77777777" w:rsidR="00713849" w:rsidRDefault="00000000">
      <w:pPr>
        <w:rPr>
          <w:rFonts w:hint="eastAsia"/>
          <w:lang w:eastAsia="zh-CN"/>
        </w:rPr>
      </w:pPr>
      <w:r>
        <w:rPr>
          <w:sz w:val="0"/>
          <w:szCs w:val="0"/>
          <w:lang w:eastAsia="zh-CN"/>
        </w:rPr>
        <w:br w:type="page"/>
      </w:r>
    </w:p>
    <w:p w14:paraId="28BAF95A" w14:textId="77777777" w:rsidR="0071384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7FCC731" w14:textId="77777777" w:rsidR="0071384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7725FF2" w14:textId="77777777" w:rsidR="0071384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9D782C8" w14:textId="77777777" w:rsidR="0071384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BC11185" w14:textId="77777777" w:rsidR="0071384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8C9CD26" w14:textId="77777777" w:rsidR="0071384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0CFD643" w14:textId="77777777" w:rsidR="0071384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05BAFAC" w14:textId="77777777" w:rsidR="0071384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86EF91A" w14:textId="77777777" w:rsidR="0071384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574D50" w14:textId="77777777" w:rsidR="0071384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43DC963" w14:textId="77777777" w:rsidR="0071384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1638DD8" w14:textId="77777777" w:rsidR="0071384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34557C3" w14:textId="77777777" w:rsidR="0071384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6448179" w14:textId="77777777" w:rsidR="0071384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27CA30" w14:textId="77777777" w:rsidR="0071384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A846C00" w14:textId="77777777" w:rsidR="00713849" w:rsidRDefault="00000000">
      <w:pPr>
        <w:rPr>
          <w:rFonts w:hint="eastAsia"/>
          <w:lang w:eastAsia="zh-CN"/>
        </w:rPr>
      </w:pPr>
      <w:r>
        <w:rPr>
          <w:sz w:val="0"/>
          <w:szCs w:val="0"/>
          <w:lang w:eastAsia="zh-CN"/>
        </w:rPr>
        <w:br w:type="page"/>
      </w:r>
    </w:p>
    <w:p w14:paraId="253030AA" w14:textId="77777777" w:rsidR="0071384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4C7BC7B" w14:textId="77777777" w:rsidR="0071384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D96828A" w14:textId="77777777" w:rsidR="0071384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521AC964" w14:textId="77777777" w:rsidR="0071384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8ACD253" w14:textId="77777777" w:rsidR="0071384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90DA18E" w14:textId="77777777" w:rsidR="0071384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AFB918A" w14:textId="77777777" w:rsidR="0071384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00B2384" w14:textId="77777777" w:rsidR="0071384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165E4444" w14:textId="77777777" w:rsidR="0071384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96D98DB" w14:textId="77777777" w:rsidR="0071384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71384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7840D" w14:textId="77777777" w:rsidR="003747A3" w:rsidRDefault="003747A3">
      <w:pPr>
        <w:spacing w:line="240" w:lineRule="auto"/>
        <w:rPr>
          <w:rFonts w:hint="eastAsia"/>
        </w:rPr>
      </w:pPr>
      <w:r>
        <w:separator/>
      </w:r>
    </w:p>
  </w:endnote>
  <w:endnote w:type="continuationSeparator" w:id="0">
    <w:p w14:paraId="6471E070" w14:textId="77777777" w:rsidR="003747A3" w:rsidRDefault="003747A3">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57564" w14:textId="77777777" w:rsidR="003747A3" w:rsidRDefault="003747A3">
      <w:pPr>
        <w:spacing w:after="0"/>
        <w:rPr>
          <w:rFonts w:hint="eastAsia"/>
        </w:rPr>
      </w:pPr>
      <w:r>
        <w:separator/>
      </w:r>
    </w:p>
  </w:footnote>
  <w:footnote w:type="continuationSeparator" w:id="0">
    <w:p w14:paraId="13673219" w14:textId="77777777" w:rsidR="003747A3" w:rsidRDefault="003747A3">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95971"/>
    <w:rsid w:val="00053C82"/>
    <w:rsid w:val="00135838"/>
    <w:rsid w:val="00275336"/>
    <w:rsid w:val="00282C4B"/>
    <w:rsid w:val="00296B08"/>
    <w:rsid w:val="002F6B3A"/>
    <w:rsid w:val="00331D3C"/>
    <w:rsid w:val="003747A3"/>
    <w:rsid w:val="003A70C0"/>
    <w:rsid w:val="003D20F7"/>
    <w:rsid w:val="003F296E"/>
    <w:rsid w:val="00423860"/>
    <w:rsid w:val="004B1C1D"/>
    <w:rsid w:val="0050365D"/>
    <w:rsid w:val="005344AD"/>
    <w:rsid w:val="00557868"/>
    <w:rsid w:val="0056185B"/>
    <w:rsid w:val="005E1A7E"/>
    <w:rsid w:val="00713849"/>
    <w:rsid w:val="00722C32"/>
    <w:rsid w:val="0076748B"/>
    <w:rsid w:val="0088772F"/>
    <w:rsid w:val="008A0CE9"/>
    <w:rsid w:val="00991BA0"/>
    <w:rsid w:val="009F1F6F"/>
    <w:rsid w:val="00BF7255"/>
    <w:rsid w:val="00D95971"/>
    <w:rsid w:val="00DC37AA"/>
    <w:rsid w:val="00DD6660"/>
    <w:rsid w:val="00E27820"/>
    <w:rsid w:val="00E32425"/>
    <w:rsid w:val="00E36F8A"/>
    <w:rsid w:val="00E42ADE"/>
    <w:rsid w:val="00EB1DC9"/>
    <w:rsid w:val="00F1418C"/>
    <w:rsid w:val="00F91962"/>
    <w:rsid w:val="1DC85258"/>
    <w:rsid w:val="20924F75"/>
    <w:rsid w:val="403A6545"/>
    <w:rsid w:val="6F854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51652D"/>
  <w15:docId w15:val="{52D7C27A-91D6-4CA1-B1E1-FEDF392D8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b">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8">
    <w:name w:val="副标题 字符"/>
    <w:basedOn w:val="a0"/>
    <w:link w:val="a7"/>
    <w:uiPriority w:val="11"/>
    <w:rPr>
      <w:rFonts w:asciiTheme="majorHAnsi" w:eastAsiaTheme="majorEastAsia" w:hAnsiTheme="majorHAnsi" w:cstheme="majorBidi"/>
      <w:i/>
      <w:iCs/>
      <w:color w:val="4472C4"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323E4F" w:themeColor="text2" w:themeShade="BF"/>
      <w:spacing w:val="5"/>
      <w:kern w:val="28"/>
      <w:sz w:val="52"/>
      <w:szCs w:val="52"/>
    </w:rPr>
  </w:style>
  <w:style w:type="paragraph" w:styleId="ae">
    <w:name w:val="footer"/>
    <w:basedOn w:val="a"/>
    <w:link w:val="af"/>
    <w:uiPriority w:val="99"/>
    <w:unhideWhenUsed/>
    <w:rsid w:val="00275336"/>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275336"/>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4263</Words>
  <Characters>4690</Characters>
  <Application>Microsoft Office Word</Application>
  <DocSecurity>0</DocSecurity>
  <Lines>521</Lines>
  <Paragraphs>373</Paragraphs>
  <ScaleCrop>false</ScaleCrop>
  <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29</cp:revision>
  <dcterms:created xsi:type="dcterms:W3CDTF">2025-09-23T08:57:00Z</dcterms:created>
  <dcterms:modified xsi:type="dcterms:W3CDTF">2025-12-15T08:20:00Z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2052-12.1.0.21915</vt:lpwstr>
  </property>
  <property fmtid="{D5CDD505-2E9C-101B-9397-08002B2CF9AE}" pid="4" name="ICV">
    <vt:lpwstr>C3B50226061C4E90A24CBFF0ED8F60F2_12</vt:lpwstr>
  </property>
</Properties>
</file>